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«07» сәуір 2025 жыл № 1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(кредиторлар талаптары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тізілімінің қалыптастыру күні)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«___» сәуір 2025 жыл № 1 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(кредиторлар талаптары тізілімін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интернет-ресурста орналастыру күні)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 банкроттығы рәсіміндегі кредиторлар талаптарының тізілімі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Бабахан Бағдат Ахмердинұлы, ИИН:940421301022</w:t>
      </w:r>
    </w:p>
    <w:p w:rsidR="00000000" w:rsidDel="00000000" w:rsidP="00000000" w:rsidRDefault="00000000" w:rsidRPr="00000000" w14:paraId="0000000B">
      <w:pPr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(теңге)</w:t>
      </w: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540"/>
        <w:gridCol w:w="3990"/>
        <w:gridCol w:w="1560"/>
        <w:gridCol w:w="1485"/>
        <w:gridCol w:w="3240"/>
        <w:gridCol w:w="1485"/>
        <w:gridCol w:w="1155"/>
        <w:gridCol w:w="2025"/>
        <w:tblGridChange w:id="0">
          <w:tblGrid>
            <w:gridCol w:w="540"/>
            <w:gridCol w:w="3990"/>
            <w:gridCol w:w="1560"/>
            <w:gridCol w:w="1485"/>
            <w:gridCol w:w="3240"/>
            <w:gridCol w:w="1485"/>
            <w:gridCol w:w="1155"/>
            <w:gridCol w:w="202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right="-15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т.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редитордың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(ЖСН / БСН)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Қойылған талаптардың сомасы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49.01574803149685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Қабылданған шешімнің негізділігін растайтын құжаттар (атауы, күні, нөмірі)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Танылған талаптар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Танылмаған талаптар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Ескерту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49.01574803149685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Бірінші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Алимент өндіріп алу бойынша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Бірінші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Екінші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Салықтар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16872</wp:posOffset>
                  </wp:positionV>
                  <wp:extent cx="2745263" cy="857403"/>
                  <wp:effectExtent b="0" l="0" r="0" t="0"/>
                  <wp:wrapNone/>
                  <wp:docPr id="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Бюджетке төленетін басқа да міндетті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Кедендік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Сот шешімі бойынша өндіріп алынатын бюджетке төленетін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Екінші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Үшінші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Кредиторлардың азаматтық-құқықтық және өзге де міндеттемелер бойынша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right="-3.897637795275557" w:firstLine="709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firstLine="709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-1808935</wp:posOffset>
                  </wp:positionH>
                  <wp:positionV relativeFrom="paragraph">
                    <wp:posOffset>223185</wp:posOffset>
                  </wp:positionV>
                  <wp:extent cx="2745263" cy="857403"/>
                  <wp:effectExtent b="0" l="0" r="0" t="0"/>
                  <wp:wrapNone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Үшінші кезек бойынша жиыны: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Төртінші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Шығындар, тұрақсыздық айыбы (айыппұлдар, өсімпұлдар)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Төртінші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Бесінші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сыну мерзімі өткеннен кейін мәлімделген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Заңның 27 быбының 5-1тармағына сәйкес талаптарының тізілімі борышкер ұсынған деректерден, оның ішінде кредиттік бюролардың дерекқорында көрсетілгент 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-1808935</wp:posOffset>
                  </wp:positionH>
                  <wp:positionV relativeFrom="paragraph">
                    <wp:posOffset>626410</wp:posOffset>
                  </wp:positionV>
                  <wp:extent cx="2745263" cy="857403"/>
                  <wp:effectExtent b="0" l="0" r="0" t="0"/>
                  <wp:wrapNone/>
                  <wp:docPr id="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"МФО "аФинанс"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970124300937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365 635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КА "Эксперт Плюс"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151040003422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460 920,5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КА «Rioni Capital» (ТОО "КА "EVEREST")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210940005155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565 066,66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"КА"iCollect" (ТОО "КА "Первое Коллекторское Бюро")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150440021829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5 328 593,75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 "ID Collect"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200840024621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292 795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"Kaspi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971240001315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1 196 915.76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Тізілім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line="240" w:lineRule="auto"/>
              <w:ind w:left="20" w:right="39.87401574803198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8 209 926,67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4428</wp:posOffset>
            </wp:positionV>
            <wp:extent cx="3324225" cy="1038225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Қаржы басқарушысы</w:t>
      </w:r>
    </w:p>
    <w:p w:rsidR="00000000" w:rsidDel="00000000" w:rsidP="00000000" w:rsidRDefault="00000000" w:rsidRPr="00000000" w14:paraId="000001D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Ахметкалиевым Еділ Шәкенұлы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____________  </w:t>
      </w:r>
    </w:p>
    <w:p w:rsidR="00000000" w:rsidDel="00000000" w:rsidP="00000000" w:rsidRDefault="00000000" w:rsidRPr="00000000" w14:paraId="000001D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(қолы)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850" w:top="1701" w:left="1842.5196850393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9A6610"/>
  </w:style>
  <w:style w:type="paragraph" w:styleId="a8">
    <w:name w:val="footer"/>
    <w:basedOn w:val="a"/>
    <w:link w:val="a9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9A6610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ZAB4RPlM8dqHjwn1KnG3OtTDyA==">CgMxLjAyCWguMWZvYjl0ZTIIaC5namRneHMyCWguMzBqMHpsbDgAciExVUVpRnRKUVMtQmtJYlhxWW05bm50WXlNYjZPdlBQb2o=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2024-02-09T04:06:00Z</dcterms:created>
</cp:coreProperties>
</file>