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90694" w:rsidRPr="00D90694" w:rsidRDefault="00D90694" w:rsidP="00D90694">
      <w:pPr>
        <w:rPr>
          <w:i w:val="0"/>
        </w:rPr>
      </w:pPr>
      <w:r w:rsidRPr="00D90694">
        <w:rPr>
          <w:i w:val="0"/>
        </w:rPr>
        <w:t>( с 14.08.2020 г. - 18.08.2020 г. включительно</w:t>
      </w:r>
      <w:r>
        <w:rPr>
          <w:i w:val="0"/>
        </w:rPr>
        <w:t xml:space="preserve"> </w:t>
      </w:r>
      <w:r w:rsidRPr="00D90694">
        <w:rPr>
          <w:i w:val="0"/>
        </w:rPr>
        <w:t>)</w:t>
      </w:r>
    </w:p>
    <w:p w:rsidR="00C81382" w:rsidRPr="00D90694" w:rsidRDefault="00C81382"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410A36" w:rsidRPr="0015216A">
        <w:rPr>
          <w:i w:val="0"/>
        </w:rPr>
        <w:fldChar w:fldCharType="begin"/>
      </w:r>
      <w:r w:rsidRPr="0015216A">
        <w:rPr>
          <w:i w:val="0"/>
        </w:rPr>
        <w:instrText>HYPERLINK "mailto:Makendzhanova@taxalmaty.mgd.kz"</w:instrText>
      </w:r>
      <w:r w:rsidR="00410A36" w:rsidRPr="0015216A">
        <w:rPr>
          <w:i w:val="0"/>
        </w:rPr>
        <w:fldChar w:fldCharType="separate"/>
      </w:r>
      <w:r w:rsidRPr="0015216A">
        <w:rPr>
          <w:i w:val="0"/>
          <w:color w:val="303030"/>
          <w:lang w:val="kk-KZ"/>
        </w:rPr>
        <w:t>Makendzhanova@taxalmaty.mgd.kz</w:t>
      </w:r>
      <w:r w:rsidR="00410A36"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proofErr w:type="gramStart"/>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roofErr w:type="gramEnd"/>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Кандидаты могут </w:t>
      </w:r>
      <w:proofErr w:type="gramStart"/>
      <w:r w:rsidRPr="002C24ED">
        <w:rPr>
          <w:rFonts w:eastAsiaTheme="minorHAnsi"/>
          <w:b w:val="0"/>
          <w:bCs w:val="0"/>
          <w:i w:val="0"/>
          <w:iCs w:val="0"/>
          <w:lang w:eastAsia="en-US"/>
        </w:rPr>
        <w:t>предоставлять документы</w:t>
      </w:r>
      <w:proofErr w:type="gramEnd"/>
      <w:r w:rsidRPr="002C24ED">
        <w:rPr>
          <w:rFonts w:eastAsiaTheme="minorHAnsi"/>
          <w:b w:val="0"/>
          <w:bCs w:val="0"/>
          <w:i w:val="0"/>
          <w:iCs w:val="0"/>
          <w:lang w:eastAsia="en-US"/>
        </w:rPr>
        <w:t>,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2125A5" w:rsidP="009030E2">
      <w:pPr>
        <w:pStyle w:val="a5"/>
        <w:jc w:val="both"/>
        <w:rPr>
          <w:b/>
          <w:i/>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15216A">
        <w:rPr>
          <w:b w:val="0"/>
          <w:i w:val="0"/>
          <w:color w:val="000000"/>
          <w:lang w:val="kk-KZ"/>
        </w:rPr>
        <w:lastRenderedPageBreak/>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proofErr w:type="gramStart"/>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Руководитель отдела</w:t>
      </w:r>
      <w:r w:rsidR="009C0977">
        <w:rPr>
          <w:i w:val="0"/>
          <w:color w:val="000000"/>
          <w:lang w:val="kk-KZ"/>
        </w:rPr>
        <w:t xml:space="preserve"> </w:t>
      </w:r>
      <w:r w:rsidR="003850E5">
        <w:rPr>
          <w:i w:val="0"/>
          <w:color w:val="000000"/>
          <w:lang w:val="kk-KZ"/>
        </w:rPr>
        <w:t>администрирования юридических лиц</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2A13EC">
        <w:rPr>
          <w:i w:val="0"/>
          <w:color w:val="000000"/>
        </w:rPr>
        <w:t>0</w:t>
      </w:r>
      <w:r w:rsidR="003850E5">
        <w:rPr>
          <w:i w:val="0"/>
          <w:color w:val="000000"/>
          <w:lang w:val="kk-KZ"/>
        </w:rPr>
        <w:t>4</w:t>
      </w:r>
      <w:r w:rsidR="002A13EC">
        <w:rPr>
          <w:i w:val="0"/>
          <w:color w:val="000000"/>
        </w:rPr>
        <w:t>-1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CB3207" w:rsidRDefault="00E73A20" w:rsidP="00CB3207">
      <w:pPr>
        <w:ind w:firstLine="708"/>
        <w:jc w:val="both"/>
        <w:rPr>
          <w:b w:val="0"/>
          <w:i w:val="0"/>
          <w:color w:val="000000"/>
          <w:lang w:val="kk-KZ"/>
        </w:rPr>
      </w:pPr>
      <w:r w:rsidRPr="00E73A20">
        <w:rPr>
          <w:i w:val="0"/>
          <w:color w:val="000000"/>
        </w:rPr>
        <w:t>Образование:</w:t>
      </w:r>
      <w:r w:rsidR="00A12D6F">
        <w:rPr>
          <w:i w:val="0"/>
          <w:color w:val="000000"/>
        </w:rPr>
        <w:t xml:space="preserve"> </w:t>
      </w:r>
      <w:r w:rsidR="00CB3207" w:rsidRPr="00A12D6F">
        <w:rPr>
          <w:b w:val="0"/>
          <w:i w:val="0"/>
          <w:color w:val="000000"/>
        </w:rPr>
        <w:t xml:space="preserve">Высшее или послевузовское  образование: социальные  науки, экономика и бизнес </w:t>
      </w:r>
      <w:proofErr w:type="gramStart"/>
      <w:r w:rsidR="00CB3207" w:rsidRPr="00A12D6F">
        <w:rPr>
          <w:b w:val="0"/>
          <w:i w:val="0"/>
          <w:color w:val="000000"/>
        </w:rPr>
        <w:t xml:space="preserve">( </w:t>
      </w:r>
      <w:proofErr w:type="gramEnd"/>
      <w:r w:rsidR="00CB3207" w:rsidRPr="00A12D6F">
        <w:rPr>
          <w:b w:val="0"/>
          <w:i w:val="0"/>
          <w:color w:val="000000"/>
        </w:rPr>
        <w:t xml:space="preserve">экономика, учет и аудит, финансы, государственное и </w:t>
      </w:r>
      <w:r w:rsidR="00CB3207" w:rsidRPr="00A12D6F">
        <w:rPr>
          <w:b w:val="0"/>
          <w:i w:val="0"/>
          <w:color w:val="000000"/>
        </w:rPr>
        <w:lastRenderedPageBreak/>
        <w:t xml:space="preserve">местное  управление) или </w:t>
      </w:r>
      <w:r w:rsidR="00CB3207">
        <w:rPr>
          <w:b w:val="0"/>
          <w:i w:val="0"/>
          <w:color w:val="000000"/>
        </w:rPr>
        <w:t>право</w:t>
      </w:r>
      <w:r w:rsidR="00CB3207">
        <w:rPr>
          <w:b w:val="0"/>
          <w:i w:val="0"/>
          <w:color w:val="000000"/>
          <w:lang w:val="kk-KZ"/>
        </w:rPr>
        <w:t>.</w:t>
      </w:r>
    </w:p>
    <w:p w:rsidR="003850E5" w:rsidRDefault="003850E5" w:rsidP="0080530A">
      <w:pPr>
        <w:ind w:firstLine="567"/>
        <w:jc w:val="both"/>
        <w:rPr>
          <w:i w:val="0"/>
          <w:color w:val="000000"/>
          <w:lang w:val="kk-KZ"/>
        </w:rPr>
      </w:pPr>
    </w:p>
    <w:p w:rsidR="00CB3207" w:rsidRPr="00F83FC4" w:rsidRDefault="00E73A20" w:rsidP="00CB3207">
      <w:pPr>
        <w:ind w:firstLine="567"/>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sidR="00E01D8B">
        <w:rPr>
          <w:i w:val="0"/>
          <w:color w:val="000000"/>
          <w:lang w:val="kk-KZ"/>
        </w:rPr>
        <w:t xml:space="preserve"> </w:t>
      </w:r>
      <w:r w:rsidR="00CB3207" w:rsidRPr="00F83FC4">
        <w:rPr>
          <w:b w:val="0"/>
          <w:i w:val="0"/>
        </w:rPr>
        <w:t xml:space="preserve">Общее  руководство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заявлений, поступивших от налогоплательщиков, подготовка обоснованных ответов на них в пределах компетенции отдела. Подготовка общей информации по вопросам, входящим в компетенцию отдела. Представление предложений по совершенствованию налогового законодательства. Проверка правильности и  </w:t>
      </w:r>
      <w:proofErr w:type="gramStart"/>
      <w:r w:rsidR="00CB3207" w:rsidRPr="00F83FC4">
        <w:rPr>
          <w:b w:val="0"/>
          <w:i w:val="0"/>
        </w:rPr>
        <w:t>контроль за</w:t>
      </w:r>
      <w:proofErr w:type="gramEnd"/>
      <w:r w:rsidR="00CB3207" w:rsidRPr="00F83FC4">
        <w:rPr>
          <w:b w:val="0"/>
          <w:i w:val="0"/>
        </w:rPr>
        <w:t xml:space="preserve"> составлением заключении в информационной системе единого фонда хранения данных (ЕХД). Обобщение информации  и анализ по обработке результатов камерального контроля.</w:t>
      </w:r>
    </w:p>
    <w:p w:rsidR="008931D8" w:rsidRDefault="008931D8" w:rsidP="00CB3207">
      <w:pPr>
        <w:ind w:firstLine="567"/>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Default="000208D5"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val="kk-KZ" w:eastAsia="en-US"/>
        </w:rPr>
      </w:pPr>
    </w:p>
    <w:p w:rsidR="00CB3207" w:rsidRDefault="00CB3207" w:rsidP="008B2243">
      <w:pPr>
        <w:ind w:left="-567"/>
        <w:contextualSpacing/>
        <w:jc w:val="both"/>
        <w:rPr>
          <w:rFonts w:eastAsia="Calibri"/>
          <w:b w:val="0"/>
          <w:i w:val="0"/>
          <w:sz w:val="24"/>
          <w:szCs w:val="24"/>
          <w:lang w:val="kk-KZ" w:eastAsia="en-US"/>
        </w:rPr>
      </w:pPr>
    </w:p>
    <w:p w:rsidR="00CB3207" w:rsidRDefault="00CB3207" w:rsidP="008B2243">
      <w:pPr>
        <w:ind w:left="-567"/>
        <w:contextualSpacing/>
        <w:jc w:val="both"/>
        <w:rPr>
          <w:rFonts w:eastAsia="Calibri"/>
          <w:b w:val="0"/>
          <w:i w:val="0"/>
          <w:sz w:val="24"/>
          <w:szCs w:val="24"/>
          <w:lang w:val="kk-KZ" w:eastAsia="en-US"/>
        </w:rPr>
      </w:pPr>
    </w:p>
    <w:p w:rsidR="00CB3207" w:rsidRPr="00CB3207" w:rsidRDefault="00CB3207" w:rsidP="008B2243">
      <w:pPr>
        <w:ind w:left="-567"/>
        <w:contextualSpacing/>
        <w:jc w:val="both"/>
        <w:rPr>
          <w:rFonts w:eastAsia="Calibri"/>
          <w:b w:val="0"/>
          <w:i w:val="0"/>
          <w:sz w:val="24"/>
          <w:szCs w:val="24"/>
          <w:lang w:val="kk-KZ"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63466"/>
    <w:rsid w:val="00365568"/>
    <w:rsid w:val="003753AD"/>
    <w:rsid w:val="003850E5"/>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0A36"/>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34FF"/>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76C34"/>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73C54"/>
    <w:rsid w:val="008863BE"/>
    <w:rsid w:val="00890110"/>
    <w:rsid w:val="00890500"/>
    <w:rsid w:val="008931D8"/>
    <w:rsid w:val="008938B0"/>
    <w:rsid w:val="00897AE2"/>
    <w:rsid w:val="008A4822"/>
    <w:rsid w:val="008B2243"/>
    <w:rsid w:val="008C13BB"/>
    <w:rsid w:val="008C697B"/>
    <w:rsid w:val="008D04FF"/>
    <w:rsid w:val="008E024D"/>
    <w:rsid w:val="008E2308"/>
    <w:rsid w:val="008F611D"/>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C0977"/>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A52F0"/>
    <w:rsid w:val="00CB3207"/>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0694"/>
    <w:rsid w:val="00D97389"/>
    <w:rsid w:val="00DB083B"/>
    <w:rsid w:val="00DB2ABE"/>
    <w:rsid w:val="00DD14B7"/>
    <w:rsid w:val="00DE02CB"/>
    <w:rsid w:val="00E01D8B"/>
    <w:rsid w:val="00E05600"/>
    <w:rsid w:val="00E12E77"/>
    <w:rsid w:val="00E22D47"/>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D6D1-60D2-4D10-AB6B-787E8AA7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2020-08-14T04:00:00Z</dcterms:created>
  <dcterms:modified xsi:type="dcterms:W3CDTF">2020-08-14T04:00:00Z</dcterms:modified>
</cp:coreProperties>
</file>