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6E297D" w:rsidRDefault="00C97F3D" w:rsidP="006E297D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>Департамент государственных доходов по Алматинской области</w:t>
      </w:r>
      <w:r w:rsidR="006E297D"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объявляет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в</w:t>
      </w:r>
      <w:proofErr w:type="spellStart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нутренний</w:t>
      </w:r>
      <w:proofErr w:type="spellEnd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конкурс среди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государственных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служащих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Министерства финансов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Республики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Казахстан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для занятия вакантной административной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государственной должности корпуса «Б»</w:t>
      </w:r>
    </w:p>
    <w:p w:rsidR="00C97F3D" w:rsidRPr="006E297D" w:rsidRDefault="00C97F3D" w:rsidP="00C97F3D">
      <w:pPr>
        <w:rPr>
          <w:sz w:val="18"/>
          <w:szCs w:val="18"/>
          <w:lang w:val="kk-KZ"/>
        </w:rPr>
      </w:pPr>
    </w:p>
    <w:p w:rsidR="00C97F3D" w:rsidRPr="006E297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Индекс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040000,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Алматинская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область, 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г.Талдыкорган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,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ул.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Жансугурова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113, телефон для справок: 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</w:rPr>
        <w:t>(87282) 60-12-40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  <w:lang w:val="kk-KZ"/>
        </w:rPr>
        <w:t xml:space="preserve">,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электронный адрес: </w:t>
      </w:r>
      <w:r w:rsidRPr="006E297D">
        <w:fldChar w:fldCharType="begin"/>
      </w:r>
      <w:r w:rsidRPr="006E297D">
        <w:rPr>
          <w:rFonts w:ascii="Times New Roman" w:hAnsi="Times New Roman" w:cs="Times New Roman"/>
          <w:sz w:val="18"/>
          <w:szCs w:val="18"/>
        </w:rPr>
        <w:instrText xml:space="preserve"> HYPERLINK "mailto:Mbibatyrova@taxalmaty.mgd.kz,%20" </w:instrText>
      </w:r>
      <w:r w:rsidRPr="006E297D">
        <w:fldChar w:fldCharType="separate"/>
      </w:r>
      <w:r w:rsidRPr="006E297D">
        <w:rPr>
          <w:rStyle w:val="a4"/>
          <w:rFonts w:ascii="Times New Roman" w:eastAsia="Times New Roman" w:hAnsi="Times New Roman" w:cs="Times New Roman"/>
          <w:b/>
          <w:color w:val="auto"/>
          <w:sz w:val="18"/>
          <w:szCs w:val="18"/>
        </w:rPr>
        <w:t>sa.aldibekova@kgd.gov.kz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, 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fldChar w:fldCharType="end"/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БИН 141140000549.</w:t>
      </w:r>
    </w:p>
    <w:p w:rsidR="006366A6" w:rsidRDefault="006366A6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:rsidR="00C97F3D" w:rsidRPr="006E297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6E297D">
        <w:rPr>
          <w:rFonts w:ascii="Times New Roman" w:hAnsi="Times New Roman" w:cs="Times New Roman"/>
          <w:b/>
          <w:bCs/>
          <w:sz w:val="18"/>
          <w:szCs w:val="18"/>
        </w:rPr>
        <w:t>Общие квалификационные требования ко всем участникам конкурсов: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bookmarkStart w:id="1" w:name="z350"/>
      <w:r w:rsidRPr="006E297D">
        <w:rPr>
          <w:rFonts w:eastAsiaTheme="minorHAnsi"/>
          <w:sz w:val="18"/>
          <w:szCs w:val="18"/>
          <w:lang w:eastAsia="en-US"/>
        </w:rPr>
        <w:t>К административным государственным должностям категории С-О-3</w:t>
      </w:r>
    </w:p>
    <w:p w:rsidR="00C97F3D" w:rsidRPr="006E297D" w:rsidRDefault="00C97F3D" w:rsidP="00C97F3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устанавливаются следующие требования: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послевузовское или высшее образование;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добропорядочность, сотрудничество и взаимодействие, управление деятельностью, принятие решений, лидерство;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опыт работы должен соответствовать одному из следующих требований: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1) не менее двух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одного года на должностях следующей нижестоящей категории,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предусмотренных штатным расписанием структурного подразделения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государственного органа, или не ниже категорий А-5, B-5, C-4, C-O-5, C-R-2, D-4, D-O-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4, Е-3, E-R-2, E-G-1, или на административных государственных должностях корпуса "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А", или на политических государственных должностях, определенных Реестром;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2) не менее трех лет стажа работы в областях, соответствующих функциональным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направлениям конкретной должности данной категории;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3) не менее двух лет стажа работы в статусе депутата Парламента Республики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Казахстан или депутата 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маслихата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 xml:space="preserve"> области, города республиканского значения,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столицы, района (города областного значения), работающего на постоянной основе,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в статусе международного служащего;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5) не менее трех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двух лет на должностях правоохранительных или специальных государственных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органов центрального уровня либо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на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руководящих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должностях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областного уровня,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на руководящих должностях не ниже тактического уровня органа военного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управления Вооруженных Сил, местных органов военного управления или военных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учебных заведений;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6) завершение обучения по программам послевузовского образования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в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организациях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образования при Президенте Республики Казахстан или в зарубежных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высших учебных заведениях по приоритетным специальностям, утверждаемым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Республиканской комиссией;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7) наличие ученой степени;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6E297D">
        <w:rPr>
          <w:rFonts w:eastAsiaTheme="minorHAnsi"/>
          <w:sz w:val="18"/>
          <w:szCs w:val="18"/>
          <w:lang w:eastAsia="en-US"/>
        </w:rPr>
        <w:t>8) не менее пяти лет стажа работы для лиц, зачисленных в Президентский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молодежный кадровый резерв.</w:t>
      </w:r>
      <w:r w:rsidRPr="006E297D">
        <w:rPr>
          <w:sz w:val="18"/>
          <w:szCs w:val="18"/>
          <w:lang w:val="kk-KZ"/>
        </w:rPr>
        <w:tab/>
      </w:r>
    </w:p>
    <w:bookmarkEnd w:id="1"/>
    <w:p w:rsidR="006310BA" w:rsidRPr="006E297D" w:rsidRDefault="006310BA" w:rsidP="00625EAD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b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>Руководитель управления</w:t>
      </w:r>
      <w:r w:rsidR="00AB79FC" w:rsidRPr="006E297D">
        <w:rPr>
          <w:b/>
          <w:sz w:val="18"/>
          <w:szCs w:val="18"/>
          <w:lang w:val="kk-KZ"/>
        </w:rPr>
        <w:t xml:space="preserve"> анализа и риска</w:t>
      </w:r>
      <w:r w:rsidRPr="006E297D">
        <w:rPr>
          <w:b/>
          <w:sz w:val="18"/>
          <w:szCs w:val="18"/>
          <w:lang w:val="kk-KZ"/>
        </w:rPr>
        <w:t xml:space="preserve">, категория С-О-3, (1 единица), </w:t>
      </w:r>
      <w:r w:rsidR="00625EAD" w:rsidRPr="006E297D">
        <w:rPr>
          <w:b/>
          <w:sz w:val="18"/>
          <w:szCs w:val="18"/>
          <w:lang w:val="kk-KZ"/>
        </w:rPr>
        <w:t>№ ТжТБ-1</w:t>
      </w:r>
      <w:r w:rsidRPr="006E297D">
        <w:rPr>
          <w:b/>
          <w:sz w:val="18"/>
          <w:szCs w:val="18"/>
          <w:lang w:val="kk-KZ"/>
        </w:rPr>
        <w:t>.</w:t>
      </w:r>
    </w:p>
    <w:p w:rsidR="006310BA" w:rsidRPr="006E297D" w:rsidRDefault="006310BA" w:rsidP="00AB79FC">
      <w:pPr>
        <w:pStyle w:val="a3"/>
        <w:tabs>
          <w:tab w:val="left" w:pos="0"/>
        </w:tabs>
        <w:ind w:left="0" w:firstLine="709"/>
        <w:jc w:val="both"/>
        <w:rPr>
          <w:sz w:val="18"/>
          <w:szCs w:val="18"/>
          <w:lang w:val="kk-KZ"/>
        </w:rPr>
      </w:pPr>
      <w:r w:rsidRPr="006E297D">
        <w:rPr>
          <w:b/>
          <w:sz w:val="18"/>
          <w:szCs w:val="18"/>
        </w:rPr>
        <w:t>Функциональные обязанности:</w:t>
      </w:r>
      <w:r w:rsidR="00211FCD" w:rsidRPr="006E297D">
        <w:rPr>
          <w:sz w:val="18"/>
          <w:szCs w:val="18"/>
          <w:lang w:val="kk-KZ"/>
        </w:rPr>
        <w:t xml:space="preserve"> </w:t>
      </w:r>
      <w:r w:rsidR="00AB79FC" w:rsidRPr="006E297D">
        <w:rPr>
          <w:sz w:val="18"/>
          <w:szCs w:val="18"/>
          <w:lang w:val="kk-KZ"/>
        </w:rPr>
        <w:t>Общее руководство работой управления. Контроль и организация порядка исполнения поручений; контроль за поступлением налогов и таможенных платежей в бюджет; координация деятельности территориальных подразделений по вопросам системы управления рисками и камерального контроля; проведение работы по анализу данных различными методами; контроль за организацией работы по применению системы управления рисками при налоговом и таможенном контроле; контроль за своевременной и полной обработкой и анализом сумм, поступивших в бюджет; координация работы по прогнозированию налоговых, таможенных и других поступлений; разъяснение налогового законодательства в пределах своей компетенции. Контроль за своевременным представлением отчетности в Комитет государственных доходов МФ РК.</w:t>
      </w:r>
    </w:p>
    <w:p w:rsidR="006310BA" w:rsidRPr="006E297D" w:rsidRDefault="006310BA" w:rsidP="00AB79FC">
      <w:pPr>
        <w:pStyle w:val="a3"/>
        <w:tabs>
          <w:tab w:val="left" w:pos="0"/>
        </w:tabs>
        <w:ind w:left="0" w:firstLine="709"/>
        <w:jc w:val="both"/>
        <w:rPr>
          <w:bCs/>
          <w:iCs/>
          <w:color w:val="000000"/>
          <w:sz w:val="18"/>
          <w:szCs w:val="18"/>
          <w:lang w:val="kk-KZ"/>
        </w:rPr>
      </w:pPr>
      <w:r w:rsidRPr="006E297D">
        <w:rPr>
          <w:rFonts w:eastAsia="Calibri"/>
          <w:b/>
          <w:bCs/>
          <w:iCs/>
          <w:sz w:val="18"/>
          <w:szCs w:val="18"/>
          <w:lang w:val="kk-KZ" w:eastAsia="en-US"/>
        </w:rPr>
        <w:t>Требования к участникам конкурса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:</w:t>
      </w:r>
      <w:r w:rsidRPr="006E297D">
        <w:rPr>
          <w:sz w:val="18"/>
          <w:szCs w:val="18"/>
        </w:rPr>
        <w:t xml:space="preserve"> </w:t>
      </w:r>
      <w:r w:rsidR="00AB79FC" w:rsidRPr="006E297D">
        <w:rPr>
          <w:bCs/>
          <w:iCs/>
          <w:color w:val="000000"/>
          <w:sz w:val="18"/>
          <w:szCs w:val="18"/>
          <w:lang w:val="kk-KZ"/>
        </w:rPr>
        <w:t>Высшее или послевузовское: социальные науки, экономика и бизнес (экономика, менеджмент, учет и аудит, Финансы) или естественные науки (математика, информатика) или технические науки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моделирование) или право.</w:t>
      </w:r>
    </w:p>
    <w:p w:rsidR="00F44F76" w:rsidRPr="006E297D" w:rsidRDefault="00F44F76" w:rsidP="006E29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Лица, изъявившие желание участвовать во внутреннем конкурсе</w:t>
      </w:r>
      <w:r w:rsidR="006E297D"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представляют документы в государственный орган, объявивший конкурс, в</w:t>
      </w:r>
      <w:r w:rsidR="006E297D"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Е-</w:t>
      </w:r>
      <w:proofErr w:type="spellStart"/>
      <w:proofErr w:type="gramEnd"/>
      <w:r w:rsidRPr="006E297D">
        <w:rPr>
          <w:rFonts w:eastAsiaTheme="minorHAnsi"/>
          <w:sz w:val="18"/>
          <w:szCs w:val="18"/>
          <w:lang w:eastAsia="en-US"/>
        </w:rPr>
        <w:t>қызмет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 или портала электронного правительства «Е-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gov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 либо на адрес</w:t>
      </w:r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электронной почты,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указанный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в объявлении, в сроки приема 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 Для участия во внутреннем конкурсе представляются следующие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документы: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1) заявление по форме, согласно приложению 2 к настоящим Правилам;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2) послужной список государственного служащего по форме, утвержденной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приказом Председателя Агентства Республики Казахстан по делам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государственной службы и противодействию коррупции от 21 октября 2016 года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№ 14 (зарегистрирован в Реестре государственной регистрации нормативных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Әділет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»), заверенный соответствующей службой управления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Кандидаты могут предоставлять документы, подтверждающие наличие у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кандидата стажа работы в областях, соответствующих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функциональным</w:t>
      </w:r>
      <w:proofErr w:type="gramEnd"/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направлениям объявленной должности.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Представление неполного пакета документов либо недостоверных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сведений является основанием для отказа в их рассмотрении конкурсной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комиссией.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Граждане могут предоставлять дополнительную информацию,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касающуюся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их образования, опыта работы, профессионального уровня и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репутации (копии документов о повышении квалификации, присвоении ученых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6E297D" w:rsidRDefault="00F44F76" w:rsidP="00F44F76">
      <w:pPr>
        <w:ind w:firstLine="708"/>
        <w:jc w:val="both"/>
        <w:rPr>
          <w:rFonts w:eastAsiaTheme="minorHAnsi"/>
          <w:sz w:val="18"/>
          <w:szCs w:val="18"/>
          <w:lang w:val="kk-KZ"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6E297D" w:rsidRDefault="00F44F76" w:rsidP="00F44F76">
      <w:pPr>
        <w:ind w:firstLine="708"/>
        <w:jc w:val="both"/>
        <w:rPr>
          <w:b/>
          <w:i/>
          <w:color w:val="000000"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 xml:space="preserve">Место проведения собеседования: </w:t>
      </w:r>
      <w:r w:rsidRPr="006E297D">
        <w:rPr>
          <w:color w:val="000000"/>
          <w:sz w:val="18"/>
          <w:szCs w:val="18"/>
          <w:lang w:val="kk-KZ"/>
        </w:rPr>
        <w:t>Алматинская область, город Талдыкорган, улица Жансугурова 113.</w:t>
      </w:r>
    </w:p>
    <w:p w:rsidR="00F44F76" w:rsidRPr="006E297D" w:rsidRDefault="00F44F76" w:rsidP="006E297D">
      <w:pPr>
        <w:tabs>
          <w:tab w:val="left" w:pos="9923"/>
        </w:tabs>
        <w:ind w:firstLine="709"/>
        <w:jc w:val="both"/>
        <w:rPr>
          <w:color w:val="000000"/>
          <w:sz w:val="18"/>
          <w:szCs w:val="18"/>
        </w:rPr>
      </w:pPr>
      <w:r w:rsidRPr="006E297D">
        <w:rPr>
          <w:sz w:val="18"/>
          <w:szCs w:val="1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</w:t>
      </w:r>
      <w:r w:rsidRPr="006E297D">
        <w:rPr>
          <w:sz w:val="18"/>
          <w:szCs w:val="18"/>
        </w:rPr>
        <w:lastRenderedPageBreak/>
        <w:t>их к собеседованию.</w:t>
      </w:r>
      <w:r w:rsidR="006E297D" w:rsidRPr="006E297D">
        <w:rPr>
          <w:sz w:val="18"/>
          <w:szCs w:val="18"/>
          <w:lang w:val="kk-KZ"/>
        </w:rPr>
        <w:t xml:space="preserve"> </w:t>
      </w:r>
      <w:r w:rsidRPr="006E297D">
        <w:rPr>
          <w:color w:val="000000"/>
          <w:sz w:val="18"/>
          <w:szCs w:val="1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6E297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4101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  <w:r w:rsidR="00410170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собеседования согласен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6E2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60A4D"/>
    <w:multiLevelType w:val="hybridMultilevel"/>
    <w:tmpl w:val="56A8DF4E"/>
    <w:lvl w:ilvl="0" w:tplc="653C4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44C5A"/>
    <w:rsid w:val="00056AE6"/>
    <w:rsid w:val="000B56B3"/>
    <w:rsid w:val="0016797F"/>
    <w:rsid w:val="00211FCD"/>
    <w:rsid w:val="0022199A"/>
    <w:rsid w:val="00276694"/>
    <w:rsid w:val="002F3AC6"/>
    <w:rsid w:val="003237AE"/>
    <w:rsid w:val="003F7886"/>
    <w:rsid w:val="00410170"/>
    <w:rsid w:val="004A2D1E"/>
    <w:rsid w:val="005A76F6"/>
    <w:rsid w:val="00625EAD"/>
    <w:rsid w:val="006310BA"/>
    <w:rsid w:val="006366A6"/>
    <w:rsid w:val="006E297D"/>
    <w:rsid w:val="007100E5"/>
    <w:rsid w:val="008F260E"/>
    <w:rsid w:val="00922F9B"/>
    <w:rsid w:val="009A247B"/>
    <w:rsid w:val="009C2F8A"/>
    <w:rsid w:val="009D7BD0"/>
    <w:rsid w:val="009E619C"/>
    <w:rsid w:val="00A02AB8"/>
    <w:rsid w:val="00A31BC0"/>
    <w:rsid w:val="00A93FA4"/>
    <w:rsid w:val="00AB6D99"/>
    <w:rsid w:val="00AB79FC"/>
    <w:rsid w:val="00B66AEB"/>
    <w:rsid w:val="00B7375D"/>
    <w:rsid w:val="00B92402"/>
    <w:rsid w:val="00BD5E65"/>
    <w:rsid w:val="00C97F3D"/>
    <w:rsid w:val="00E238EA"/>
    <w:rsid w:val="00E80265"/>
    <w:rsid w:val="00F44F76"/>
    <w:rsid w:val="00F9533F"/>
    <w:rsid w:val="00FB5144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2020-05-26T06:20:00Z</cp:lastPrinted>
  <dcterms:created xsi:type="dcterms:W3CDTF">2021-02-01T12:14:00Z</dcterms:created>
  <dcterms:modified xsi:type="dcterms:W3CDTF">2021-02-01T12:15:00Z</dcterms:modified>
</cp:coreProperties>
</file>