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bookmarkStart w:id="0" w:name="_GoBack"/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bookmarkEnd w:id="0"/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C36BC3" w:rsidRDefault="00C36BC3" w:rsidP="00C36BC3">
      <w:pPr>
        <w:rPr>
          <w:lang w:val="kk-KZ"/>
        </w:rPr>
      </w:pPr>
    </w:p>
    <w:p w:rsidR="00C36BC3" w:rsidRPr="00C36BC3" w:rsidRDefault="00C36BC3" w:rsidP="00C36BC3">
      <w:pPr>
        <w:jc w:val="center"/>
        <w:rPr>
          <w:sz w:val="24"/>
          <w:szCs w:val="24"/>
          <w:lang w:val="kk-KZ"/>
        </w:rPr>
      </w:pPr>
      <w:r w:rsidRPr="00C36BC3">
        <w:rPr>
          <w:sz w:val="24"/>
          <w:szCs w:val="24"/>
          <w:lang w:val="kk-KZ"/>
        </w:rPr>
        <w:t>(11.06.2020-15.06.2020г.)</w:t>
      </w:r>
    </w:p>
    <w:p w:rsidR="00C97F3D" w:rsidRPr="006E297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E297D">
        <w:rPr>
          <w:rFonts w:ascii="Times New Roman" w:hAnsi="Times New Roman" w:cs="Times New Roman"/>
          <w:b/>
          <w:bCs/>
          <w:sz w:val="18"/>
          <w:szCs w:val="18"/>
        </w:rPr>
        <w:t>Общие квалификационные требования ко всем участникам конкурсов: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bookmarkStart w:id="1" w:name="z350"/>
      <w:r w:rsidRPr="006E297D">
        <w:rPr>
          <w:rFonts w:eastAsiaTheme="minorHAnsi"/>
          <w:sz w:val="18"/>
          <w:szCs w:val="18"/>
          <w:lang w:eastAsia="en-US"/>
        </w:rPr>
        <w:t>К административным государственным должностям категории С-О-3</w:t>
      </w:r>
    </w:p>
    <w:p w:rsidR="00C97F3D" w:rsidRPr="006E297D" w:rsidRDefault="00C97F3D" w:rsidP="00C97F3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устанавливаются следующие требования: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добропорядочность, сотрудничество и взаимодействие, управление деятельностью, принятие решений, лидерство;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опыт работы должен соответствовать одному из следующих требований: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1) не менее двух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одного года на должностях следующей нижестоящей категории,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предусмотренных штатным расписанием структурного подразделения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государственного органа, или не ниже категорий А-5, B-5, C-4, C-O-5, C-R-2, D-4, D-O-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4, Е-3, E-R-2, E-G-1, или на административных государственных должностях корпуса "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А", или на политических государственных должностях, определенных Реестром;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2) не менее трех лет стажа работы в областях, соответствующих функциональным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направлениям конкретной должности данной категории;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3) не менее двух лет стажа работы в статусе депутата Парламента Республики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Казахстан или депутата 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маслихата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 xml:space="preserve"> области, города республиканского значения,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столицы, района (города областного значения), работающего на постоянной основе,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в статусе международного служащего;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5) не менее трех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двух лет на должностях правоохранительных или специальных государственных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органов центрального уровня либо на руководящих должностях областного уровня,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на руководящих должностях не ниже тактического уровня органа военного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управления Вооруженных Сил, местных органов военного управления или военных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учебных заведений;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в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организациях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образования при Президенте Республики Казахстан или в зарубежных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высших учебных заведениях по приоритетным специальностям, утверждаемым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Республиканской комиссией;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7) наличие ученой степени;</w:t>
      </w:r>
    </w:p>
    <w:p w:rsidR="00C97F3D" w:rsidRDefault="00C97F3D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eastAsiaTheme="minorHAnsi"/>
          <w:sz w:val="18"/>
          <w:szCs w:val="18"/>
          <w:lang w:eastAsia="en-US"/>
        </w:rPr>
        <w:t>8) не менее пяти лет стажа работы для лиц, зачисленных в Президентский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молодежный кадровый резерв.</w:t>
      </w:r>
      <w:r w:rsidRPr="006E297D">
        <w:rPr>
          <w:sz w:val="18"/>
          <w:szCs w:val="18"/>
          <w:lang w:val="kk-KZ"/>
        </w:rPr>
        <w:tab/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b/>
          <w:sz w:val="18"/>
          <w:szCs w:val="18"/>
          <w:lang w:eastAsia="en-US"/>
        </w:rPr>
      </w:pPr>
      <w:r w:rsidRPr="00F46F95">
        <w:rPr>
          <w:rFonts w:eastAsiaTheme="minorHAnsi"/>
          <w:b/>
          <w:sz w:val="18"/>
          <w:szCs w:val="18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опыт работы не требуется.</w:t>
      </w:r>
    </w:p>
    <w:p w:rsidR="00F46F95" w:rsidRPr="00F46F95" w:rsidRDefault="00F46F95" w:rsidP="00F46F95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F46F95" w:rsidRPr="00F46F95" w:rsidRDefault="00F46F95" w:rsidP="00F46F95">
      <w:pPr>
        <w:widowControl w:val="0"/>
        <w:tabs>
          <w:tab w:val="left" w:pos="993"/>
        </w:tabs>
        <w:contextualSpacing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F46F95" w:rsidRPr="006E297D" w:rsidRDefault="00F46F95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</w:p>
    <w:bookmarkEnd w:id="1"/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</w:rPr>
      </w:pPr>
      <w:proofErr w:type="spellStart"/>
      <w:r w:rsidRPr="006E297D">
        <w:rPr>
          <w:b/>
          <w:bCs/>
          <w:iCs/>
          <w:sz w:val="18"/>
          <w:szCs w:val="18"/>
        </w:rPr>
        <w:t>Должностн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ые</w:t>
      </w:r>
      <w:r w:rsidRPr="006E297D">
        <w:rPr>
          <w:b/>
          <w:bCs/>
          <w:iCs/>
          <w:sz w:val="18"/>
          <w:szCs w:val="18"/>
        </w:rPr>
        <w:t xml:space="preserve"> оклад</w:t>
      </w:r>
      <w:r w:rsidRPr="006E297D">
        <w:rPr>
          <w:b/>
          <w:bCs/>
          <w:iCs/>
          <w:sz w:val="18"/>
          <w:szCs w:val="18"/>
          <w:lang w:val="kk-KZ"/>
        </w:rPr>
        <w:t>ы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административн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государственн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служащ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их</w:t>
      </w:r>
      <w:r w:rsidRPr="006E297D">
        <w:rPr>
          <w:b/>
          <w:bCs/>
          <w:iCs/>
          <w:sz w:val="18"/>
          <w:szCs w:val="18"/>
        </w:rPr>
        <w:t>:</w:t>
      </w:r>
    </w:p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  <w:lang w:val="kk-KZ"/>
        </w:rPr>
      </w:pP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041"/>
        <w:gridCol w:w="3827"/>
      </w:tblGrid>
      <w:tr w:rsidR="00C97F3D" w:rsidRPr="006E297D" w:rsidTr="00AB79FC">
        <w:trPr>
          <w:trHeight w:val="32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>Категория</w:t>
            </w:r>
          </w:p>
        </w:tc>
        <w:tc>
          <w:tcPr>
            <w:tcW w:w="7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зависимости от выслуги лет</w:t>
            </w:r>
          </w:p>
        </w:tc>
      </w:tr>
      <w:tr w:rsidR="00C97F3D" w:rsidRPr="006E297D" w:rsidTr="00AB79FC">
        <w:trPr>
          <w:trHeight w:val="144"/>
          <w:tblCellSpacing w:w="0" w:type="dxa"/>
        </w:trPr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widowControl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6E297D">
              <w:rPr>
                <w:b/>
                <w:bCs/>
                <w:i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  <w:proofErr w:type="spellStart"/>
            <w:r w:rsidRPr="006E297D">
              <w:rPr>
                <w:b/>
                <w:bCs/>
                <w:i/>
                <w:iCs/>
                <w:sz w:val="18"/>
                <w:szCs w:val="18"/>
              </w:rPr>
              <w:t>max</w:t>
            </w:r>
            <w:proofErr w:type="spellEnd"/>
          </w:p>
        </w:tc>
      </w:tr>
      <w:tr w:rsidR="00C97F3D" w:rsidRPr="006E297D" w:rsidTr="00AB79FC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С-О-3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F3D" w:rsidRPr="006E297D" w:rsidRDefault="00C97F3D" w:rsidP="0056163E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141 576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F3D" w:rsidRPr="006E297D" w:rsidRDefault="00C97F3D" w:rsidP="0056163E">
            <w:pPr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              191 482</w:t>
            </w:r>
          </w:p>
        </w:tc>
      </w:tr>
      <w:tr w:rsidR="00F46F95" w:rsidRPr="006E297D" w:rsidTr="00AB79FC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6F95" w:rsidRPr="006E297D" w:rsidRDefault="00F46F95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>
              <w:rPr>
                <w:b/>
                <w:bCs/>
                <w:iCs/>
                <w:sz w:val="18"/>
                <w:szCs w:val="18"/>
                <w:lang w:val="kk-KZ"/>
              </w:rPr>
              <w:t>С-О-5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6F95" w:rsidRPr="00B7375D" w:rsidRDefault="00F46F95" w:rsidP="00554EFF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6F95" w:rsidRPr="00053525" w:rsidRDefault="00F46F95" w:rsidP="00F46F95">
            <w:pPr>
              <w:pStyle w:val="a3"/>
              <w:numPr>
                <w:ilvl w:val="0"/>
                <w:numId w:val="12"/>
              </w:numPr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053525">
              <w:rPr>
                <w:b/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</w:tbl>
    <w:p w:rsidR="00DA7A60" w:rsidRPr="00DA7A60" w:rsidRDefault="00DA7A60" w:rsidP="00DA7A60">
      <w:pPr>
        <w:pStyle w:val="a3"/>
        <w:widowControl w:val="0"/>
        <w:numPr>
          <w:ilvl w:val="0"/>
          <w:numId w:val="11"/>
        </w:numPr>
        <w:spacing w:after="160" w:line="259" w:lineRule="auto"/>
        <w:jc w:val="both"/>
        <w:rPr>
          <w:b/>
          <w:bCs/>
          <w:iCs/>
          <w:color w:val="000000"/>
          <w:sz w:val="18"/>
          <w:szCs w:val="18"/>
          <w:lang w:val="kk-KZ"/>
        </w:rPr>
      </w:pPr>
      <w:r w:rsidRPr="00DA7A60">
        <w:rPr>
          <w:b/>
          <w:bCs/>
          <w:iCs/>
          <w:sz w:val="18"/>
          <w:szCs w:val="18"/>
          <w:lang w:val="kk-KZ"/>
        </w:rPr>
        <w:t>Руководитель у</w:t>
      </w:r>
      <w:r w:rsidRPr="00DA7A60">
        <w:rPr>
          <w:b/>
          <w:bCs/>
          <w:iCs/>
          <w:sz w:val="18"/>
          <w:szCs w:val="18"/>
        </w:rPr>
        <w:t xml:space="preserve">правления </w:t>
      </w:r>
      <w:r w:rsidR="00505164">
        <w:rPr>
          <w:b/>
          <w:bCs/>
          <w:iCs/>
          <w:sz w:val="18"/>
          <w:szCs w:val="18"/>
          <w:lang w:val="kk-KZ"/>
        </w:rPr>
        <w:t>по работе с задолженностью</w:t>
      </w:r>
      <w:r w:rsidRPr="00DA7A60">
        <w:rPr>
          <w:b/>
          <w:bCs/>
          <w:iCs/>
          <w:sz w:val="18"/>
          <w:szCs w:val="18"/>
        </w:rPr>
        <w:t xml:space="preserve"> Департамента государственных доходов по </w:t>
      </w:r>
      <w:proofErr w:type="spellStart"/>
      <w:r w:rsidRPr="00DA7A60">
        <w:rPr>
          <w:b/>
          <w:bCs/>
          <w:iCs/>
          <w:sz w:val="18"/>
          <w:szCs w:val="18"/>
        </w:rPr>
        <w:t>Алматинской</w:t>
      </w:r>
      <w:proofErr w:type="spellEnd"/>
      <w:r w:rsidRPr="00DA7A60">
        <w:rPr>
          <w:b/>
          <w:bCs/>
          <w:iCs/>
          <w:sz w:val="18"/>
          <w:szCs w:val="18"/>
        </w:rPr>
        <w:t xml:space="preserve"> области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 xml:space="preserve"> (1 единица), категория </w:t>
      </w:r>
      <w:r w:rsidRPr="00DA7A60">
        <w:rPr>
          <w:b/>
          <w:bCs/>
          <w:iCs/>
          <w:sz w:val="18"/>
          <w:szCs w:val="18"/>
        </w:rPr>
        <w:t>С-О-</w:t>
      </w:r>
      <w:r w:rsidRPr="00DA7A60">
        <w:rPr>
          <w:b/>
          <w:bCs/>
          <w:iCs/>
          <w:sz w:val="18"/>
          <w:szCs w:val="18"/>
          <w:lang w:val="kk-KZ"/>
        </w:rPr>
        <w:t xml:space="preserve">3, 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>№ Б</w:t>
      </w:r>
      <w:r w:rsidR="00505164">
        <w:rPr>
          <w:b/>
          <w:bCs/>
          <w:iCs/>
          <w:color w:val="000000"/>
          <w:sz w:val="18"/>
          <w:szCs w:val="18"/>
          <w:lang w:val="kk-KZ"/>
        </w:rPr>
        <w:t>ЖБ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 xml:space="preserve"> -1.</w:t>
      </w:r>
    </w:p>
    <w:p w:rsidR="00DA7A60" w:rsidRPr="00DA7A60" w:rsidRDefault="00DA7A60" w:rsidP="00DA7A60">
      <w:pPr>
        <w:widowControl w:val="0"/>
        <w:ind w:left="927" w:hanging="360"/>
        <w:contextualSpacing/>
        <w:jc w:val="both"/>
        <w:rPr>
          <w:b/>
          <w:bCs/>
          <w:i/>
          <w:iCs/>
          <w:sz w:val="18"/>
          <w:szCs w:val="18"/>
          <w:lang w:val="kk-KZ"/>
        </w:rPr>
      </w:pPr>
      <w:r w:rsidRPr="00DA7A60">
        <w:rPr>
          <w:rFonts w:eastAsia="Calibri"/>
          <w:b/>
          <w:bCs/>
          <w:iCs/>
          <w:sz w:val="18"/>
          <w:szCs w:val="18"/>
          <w:lang w:val="kk-KZ" w:eastAsia="en-US"/>
        </w:rPr>
        <w:t xml:space="preserve"> Функциональные обязанности</w:t>
      </w:r>
      <w:r w:rsidRPr="00DA7A60">
        <w:rPr>
          <w:b/>
          <w:bCs/>
          <w:iCs/>
          <w:color w:val="000000"/>
          <w:sz w:val="18"/>
          <w:szCs w:val="18"/>
          <w:lang w:val="kk-KZ"/>
        </w:rPr>
        <w:t>:</w:t>
      </w:r>
      <w:r w:rsidRPr="00DA7A60">
        <w:rPr>
          <w:b/>
          <w:bCs/>
          <w:i/>
          <w:iCs/>
          <w:sz w:val="18"/>
          <w:szCs w:val="18"/>
          <w:lang w:val="kk-KZ"/>
        </w:rPr>
        <w:t xml:space="preserve"> </w:t>
      </w:r>
    </w:p>
    <w:p w:rsidR="00505164" w:rsidRDefault="00DA7A60" w:rsidP="00505164">
      <w:pPr>
        <w:pStyle w:val="HTML"/>
        <w:jc w:val="both"/>
        <w:rPr>
          <w:rFonts w:ascii="Times New Roman" w:hAnsi="Times New Roman"/>
          <w:sz w:val="18"/>
          <w:szCs w:val="18"/>
          <w:lang w:val="kk-KZ"/>
        </w:rPr>
      </w:pPr>
      <w:r w:rsidRPr="00DA7A60">
        <w:rPr>
          <w:rFonts w:ascii="Times New Roman" w:hAnsi="Times New Roman"/>
          <w:bCs/>
          <w:iCs/>
          <w:color w:val="000000"/>
          <w:sz w:val="18"/>
          <w:szCs w:val="18"/>
          <w:lang w:val="kk-KZ"/>
        </w:rPr>
        <w:t xml:space="preserve">    </w:t>
      </w:r>
      <w:r w:rsidR="00505164" w:rsidRPr="00505164">
        <w:rPr>
          <w:rFonts w:ascii="Times New Roman" w:hAnsi="Times New Roman"/>
          <w:sz w:val="18"/>
          <w:szCs w:val="18"/>
        </w:rPr>
        <w:t xml:space="preserve">Общее руководство работой управления. Координация работы отделов управления, территориальных управлений Департамента государственных доходов по </w:t>
      </w:r>
      <w:proofErr w:type="spellStart"/>
      <w:r w:rsidR="00505164" w:rsidRPr="00505164">
        <w:rPr>
          <w:rFonts w:ascii="Times New Roman" w:hAnsi="Times New Roman"/>
          <w:sz w:val="18"/>
          <w:szCs w:val="18"/>
        </w:rPr>
        <w:t>Алматинской</w:t>
      </w:r>
      <w:proofErr w:type="spellEnd"/>
      <w:r w:rsidR="00505164" w:rsidRPr="00505164">
        <w:rPr>
          <w:rFonts w:ascii="Times New Roman" w:hAnsi="Times New Roman"/>
          <w:sz w:val="18"/>
          <w:szCs w:val="18"/>
        </w:rPr>
        <w:t xml:space="preserve"> области, отдела принудительного взыскания, по сокращению и ликвидации налоговой задолженности, задолженности по ОПВ в НПФ и МСУ, </w:t>
      </w:r>
      <w:proofErr w:type="spellStart"/>
      <w:r w:rsidR="00505164" w:rsidRPr="00505164">
        <w:rPr>
          <w:rFonts w:ascii="Times New Roman" w:hAnsi="Times New Roman"/>
          <w:sz w:val="18"/>
          <w:szCs w:val="18"/>
        </w:rPr>
        <w:t>применени</w:t>
      </w:r>
      <w:proofErr w:type="spellEnd"/>
      <w:r w:rsidR="00505164">
        <w:rPr>
          <w:rFonts w:ascii="Times New Roman" w:hAnsi="Times New Roman"/>
          <w:sz w:val="18"/>
          <w:szCs w:val="18"/>
          <w:lang w:val="kk-KZ"/>
        </w:rPr>
        <w:t>е</w:t>
      </w:r>
      <w:r w:rsidR="00505164" w:rsidRPr="00505164">
        <w:rPr>
          <w:rFonts w:ascii="Times New Roman" w:hAnsi="Times New Roman"/>
          <w:sz w:val="18"/>
          <w:szCs w:val="18"/>
        </w:rPr>
        <w:t xml:space="preserve"> процедур банкротства, реабилитации и внешнего контроля. Рассмотрение обращений налогоплательщиков по вопросам, входящим в компетенцию Управления. Координация работы с другими государственными органами и КГД МФ РК. Разъяснение </w:t>
      </w:r>
      <w:r w:rsidR="00505164">
        <w:rPr>
          <w:rFonts w:ascii="Times New Roman" w:hAnsi="Times New Roman"/>
          <w:sz w:val="18"/>
          <w:szCs w:val="18"/>
          <w:lang w:val="kk-KZ"/>
        </w:rPr>
        <w:t xml:space="preserve">налогового и </w:t>
      </w:r>
      <w:r w:rsidR="00505164" w:rsidRPr="00505164">
        <w:rPr>
          <w:rFonts w:ascii="Times New Roman" w:hAnsi="Times New Roman"/>
          <w:sz w:val="18"/>
          <w:szCs w:val="18"/>
        </w:rPr>
        <w:t xml:space="preserve">таможенного законодательства в пределах своей компетенции. </w:t>
      </w:r>
      <w:proofErr w:type="gramStart"/>
      <w:r w:rsidR="00505164" w:rsidRPr="00505164">
        <w:rPr>
          <w:rFonts w:ascii="Times New Roman" w:hAnsi="Times New Roman"/>
          <w:sz w:val="18"/>
          <w:szCs w:val="18"/>
        </w:rPr>
        <w:t>Контроль за</w:t>
      </w:r>
      <w:proofErr w:type="gramEnd"/>
      <w:r w:rsidR="00505164" w:rsidRPr="00505164">
        <w:rPr>
          <w:rFonts w:ascii="Times New Roman" w:hAnsi="Times New Roman"/>
          <w:sz w:val="18"/>
          <w:szCs w:val="18"/>
        </w:rPr>
        <w:t xml:space="preserve"> своевременным представлением отчетности в Комитет государственных доходов МФ РК.</w:t>
      </w:r>
    </w:p>
    <w:p w:rsidR="00DA7A60" w:rsidRPr="00505164" w:rsidRDefault="00DA7A60" w:rsidP="00505164">
      <w:pPr>
        <w:pStyle w:val="HTML"/>
        <w:jc w:val="both"/>
        <w:rPr>
          <w:rFonts w:ascii="Times New Roman" w:hAnsi="Times New Roman"/>
          <w:bCs/>
          <w:iCs/>
          <w:sz w:val="18"/>
          <w:szCs w:val="18"/>
          <w:lang w:val="kk-KZ"/>
        </w:rPr>
      </w:pPr>
      <w:r w:rsidRPr="00505164">
        <w:rPr>
          <w:rFonts w:ascii="Times New Roman" w:eastAsia="Calibri" w:hAnsi="Times New Roman"/>
          <w:b/>
          <w:bCs/>
          <w:iCs/>
          <w:sz w:val="18"/>
          <w:szCs w:val="18"/>
          <w:lang w:val="kk-KZ" w:eastAsia="en-US"/>
        </w:rPr>
        <w:lastRenderedPageBreak/>
        <w:t>Требования к участникам конкурса</w:t>
      </w:r>
      <w:r w:rsidRPr="00505164">
        <w:rPr>
          <w:rFonts w:ascii="Times New Roman" w:hAnsi="Times New Roman"/>
          <w:b/>
          <w:bCs/>
          <w:iCs/>
          <w:color w:val="000000"/>
          <w:sz w:val="18"/>
          <w:szCs w:val="18"/>
          <w:lang w:val="kk-KZ"/>
        </w:rPr>
        <w:t xml:space="preserve">: </w:t>
      </w:r>
      <w:r w:rsidR="00505164" w:rsidRPr="00505164">
        <w:rPr>
          <w:rFonts w:ascii="Times New Roman" w:hAnsi="Times New Roman"/>
          <w:bCs/>
          <w:iCs/>
          <w:sz w:val="18"/>
          <w:szCs w:val="18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право.</w:t>
      </w:r>
    </w:p>
    <w:p w:rsidR="00505164" w:rsidRPr="00505164" w:rsidRDefault="00505164" w:rsidP="00505164">
      <w:pPr>
        <w:pStyle w:val="a3"/>
        <w:widowControl w:val="0"/>
        <w:numPr>
          <w:ilvl w:val="0"/>
          <w:numId w:val="11"/>
        </w:numPr>
        <w:jc w:val="both"/>
        <w:rPr>
          <w:b/>
          <w:bCs/>
          <w:iCs/>
          <w:sz w:val="18"/>
          <w:szCs w:val="18"/>
          <w:lang w:val="kk-KZ"/>
        </w:rPr>
      </w:pPr>
      <w:r w:rsidRPr="00505164">
        <w:rPr>
          <w:b/>
          <w:bCs/>
          <w:iCs/>
          <w:sz w:val="18"/>
          <w:szCs w:val="18"/>
          <w:lang w:val="kk-KZ"/>
        </w:rPr>
        <w:t>Главный специалист отдела по работе с уполномоченными органами Управления непроизводственных платежей</w:t>
      </w:r>
      <w:r w:rsidR="00B17145">
        <w:rPr>
          <w:b/>
          <w:bCs/>
          <w:iCs/>
          <w:sz w:val="18"/>
          <w:szCs w:val="18"/>
          <w:lang w:val="kk-KZ"/>
        </w:rPr>
        <w:t xml:space="preserve"> </w:t>
      </w:r>
      <w:r w:rsidR="00B17145" w:rsidRPr="00DA7A60">
        <w:rPr>
          <w:b/>
          <w:bCs/>
          <w:iCs/>
          <w:sz w:val="18"/>
          <w:szCs w:val="18"/>
        </w:rPr>
        <w:t xml:space="preserve">Департамента государственных доходов по </w:t>
      </w:r>
      <w:proofErr w:type="spellStart"/>
      <w:r w:rsidR="00B17145" w:rsidRPr="00DA7A60">
        <w:rPr>
          <w:b/>
          <w:bCs/>
          <w:iCs/>
          <w:sz w:val="18"/>
          <w:szCs w:val="18"/>
        </w:rPr>
        <w:t>Алматинской</w:t>
      </w:r>
      <w:proofErr w:type="spellEnd"/>
      <w:r w:rsidR="00B17145" w:rsidRPr="00DA7A60">
        <w:rPr>
          <w:b/>
          <w:bCs/>
          <w:iCs/>
          <w:sz w:val="18"/>
          <w:szCs w:val="18"/>
        </w:rPr>
        <w:t xml:space="preserve"> области</w:t>
      </w:r>
      <w:r w:rsidRPr="00505164">
        <w:rPr>
          <w:b/>
          <w:bCs/>
          <w:iCs/>
          <w:sz w:val="18"/>
          <w:szCs w:val="18"/>
          <w:lang w:val="kk-KZ"/>
        </w:rPr>
        <w:t>, категория С-О-5, (1 единица), № ӨЕТБ 1-2-</w:t>
      </w:r>
      <w:r>
        <w:rPr>
          <w:b/>
          <w:bCs/>
          <w:iCs/>
          <w:sz w:val="18"/>
          <w:szCs w:val="18"/>
          <w:lang w:val="kk-KZ"/>
        </w:rPr>
        <w:t>1</w:t>
      </w:r>
      <w:r w:rsidRPr="00505164">
        <w:rPr>
          <w:b/>
          <w:bCs/>
          <w:iCs/>
          <w:sz w:val="18"/>
          <w:szCs w:val="18"/>
          <w:lang w:val="kk-KZ"/>
        </w:rPr>
        <w:t>.</w:t>
      </w:r>
    </w:p>
    <w:p w:rsidR="00505164" w:rsidRPr="00505164" w:rsidRDefault="00505164" w:rsidP="00505164">
      <w:pPr>
        <w:pStyle w:val="a3"/>
        <w:widowControl w:val="0"/>
        <w:tabs>
          <w:tab w:val="left" w:pos="993"/>
        </w:tabs>
        <w:ind w:left="927"/>
        <w:jc w:val="both"/>
        <w:rPr>
          <w:b/>
          <w:bCs/>
          <w:iCs/>
          <w:sz w:val="18"/>
          <w:szCs w:val="18"/>
          <w:lang w:val="kk-KZ"/>
        </w:rPr>
      </w:pPr>
      <w:r w:rsidRPr="00505164">
        <w:rPr>
          <w:b/>
          <w:bCs/>
          <w:iCs/>
          <w:sz w:val="18"/>
          <w:szCs w:val="18"/>
          <w:lang w:val="kk-KZ"/>
        </w:rPr>
        <w:t>Функциональные обязанности:</w:t>
      </w:r>
    </w:p>
    <w:p w:rsidR="00505164" w:rsidRPr="00505164" w:rsidRDefault="00B17145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  <w:r w:rsidRPr="00B17145">
        <w:rPr>
          <w:bCs/>
          <w:iCs/>
          <w:sz w:val="18"/>
          <w:szCs w:val="18"/>
          <w:lang w:val="kk-KZ"/>
        </w:rPr>
        <w:t>Контроль за поступлением, исполнением прогноза непроизводственных платежей совместно с территориальными управлениями государственных доходов, отслеживание темпов их поступления;</w:t>
      </w:r>
      <w:r>
        <w:rPr>
          <w:bCs/>
          <w:iCs/>
          <w:sz w:val="18"/>
          <w:szCs w:val="18"/>
          <w:lang w:val="kk-KZ"/>
        </w:rPr>
        <w:t xml:space="preserve"> </w:t>
      </w:r>
      <w:r w:rsidRPr="00B17145">
        <w:rPr>
          <w:bCs/>
          <w:iCs/>
          <w:sz w:val="18"/>
          <w:szCs w:val="18"/>
          <w:lang w:val="kk-KZ"/>
        </w:rPr>
        <w:t>свод и анализ отчетов территориальных управлений государственных доходов области по сбору непроизводственных платежей;</w:t>
      </w:r>
      <w:r>
        <w:rPr>
          <w:bCs/>
          <w:iCs/>
          <w:sz w:val="18"/>
          <w:szCs w:val="18"/>
          <w:lang w:val="kk-KZ"/>
        </w:rPr>
        <w:t xml:space="preserve"> </w:t>
      </w:r>
      <w:r w:rsidRPr="00B17145">
        <w:rPr>
          <w:bCs/>
          <w:iCs/>
          <w:sz w:val="18"/>
          <w:szCs w:val="18"/>
          <w:lang w:val="kk-KZ"/>
        </w:rPr>
        <w:t>проведение сверочных работ и камерального контроля и анализа по всем непроизводственным платежам и налогам налогоплательщиков, указанных в сведениях уполномоченного органа подготовка объяснений, консультационных писем и указаний о сборе непроизводственных платежей; проведение проверок по непроизводственным платежам в уполномоченных государственных органах; проведение налоговых проверок по выявлению субъектов, осуществляющих деятельность без соответствующей регистрации в органах государственных доходов, и незарегистрированных объектов налогообложения.</w:t>
      </w:r>
      <w:r>
        <w:rPr>
          <w:bCs/>
          <w:iCs/>
          <w:sz w:val="18"/>
          <w:szCs w:val="18"/>
          <w:lang w:val="kk-KZ"/>
        </w:rPr>
        <w:t xml:space="preserve"> </w:t>
      </w:r>
      <w:r w:rsidRPr="00B17145">
        <w:rPr>
          <w:bCs/>
          <w:iCs/>
          <w:sz w:val="18"/>
          <w:szCs w:val="18"/>
          <w:lang w:val="kk-KZ"/>
        </w:rPr>
        <w:t>Оказание методической и практической помощи территориальным управлениям государственных доходов области. Контроль за своевременным представлением отчетности в Комитет государственных доходов МФ РК.</w:t>
      </w:r>
    </w:p>
    <w:p w:rsidR="00B17145" w:rsidRDefault="00505164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  <w:r w:rsidRPr="00505164">
        <w:rPr>
          <w:rFonts w:eastAsia="Calibri"/>
          <w:b/>
          <w:bCs/>
          <w:iCs/>
          <w:sz w:val="18"/>
          <w:szCs w:val="18"/>
          <w:lang w:val="kk-KZ"/>
        </w:rPr>
        <w:tab/>
        <w:t>Требования к участникам конкурса</w:t>
      </w:r>
      <w:r w:rsidRPr="00505164">
        <w:rPr>
          <w:b/>
          <w:bCs/>
          <w:iCs/>
          <w:color w:val="000000"/>
          <w:sz w:val="18"/>
          <w:szCs w:val="18"/>
          <w:lang w:val="kk-KZ"/>
        </w:rPr>
        <w:t>:</w:t>
      </w:r>
      <w:r w:rsidRPr="00505164">
        <w:rPr>
          <w:bCs/>
          <w:iCs/>
          <w:sz w:val="18"/>
          <w:szCs w:val="18"/>
          <w:lang w:val="kk-KZ"/>
        </w:rPr>
        <w:t xml:space="preserve"> </w:t>
      </w:r>
      <w:r w:rsidR="00B17145" w:rsidRPr="00B17145">
        <w:rPr>
          <w:bCs/>
          <w:iCs/>
          <w:sz w:val="18"/>
          <w:szCs w:val="18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право.</w:t>
      </w:r>
    </w:p>
    <w:p w:rsidR="00F44F76" w:rsidRPr="006E297D" w:rsidRDefault="00F44F76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Кандидаты могут предоставлять документы,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кандидата стажа работы в областях, соответствующих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функциональным</w:t>
      </w:r>
      <w:proofErr w:type="gramEnd"/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касающуюся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их образования, опыта работы, профессионального уровня и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6E297D" w:rsidRDefault="00F44F76" w:rsidP="00F44F76">
      <w:pPr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lastRenderedPageBreak/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749E3"/>
    <w:multiLevelType w:val="hybridMultilevel"/>
    <w:tmpl w:val="45BCC0FE"/>
    <w:lvl w:ilvl="0" w:tplc="58D448FC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D714A8"/>
    <w:multiLevelType w:val="hybridMultilevel"/>
    <w:tmpl w:val="9F68F3DC"/>
    <w:lvl w:ilvl="0" w:tplc="5EDC7F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35800"/>
    <w:rsid w:val="0016797F"/>
    <w:rsid w:val="00211FCD"/>
    <w:rsid w:val="0022199A"/>
    <w:rsid w:val="00276116"/>
    <w:rsid w:val="00276694"/>
    <w:rsid w:val="002A6B10"/>
    <w:rsid w:val="002B1F33"/>
    <w:rsid w:val="002F3AC6"/>
    <w:rsid w:val="003237AE"/>
    <w:rsid w:val="003A61CF"/>
    <w:rsid w:val="003F7886"/>
    <w:rsid w:val="00410170"/>
    <w:rsid w:val="00475DBE"/>
    <w:rsid w:val="00505164"/>
    <w:rsid w:val="005A76F6"/>
    <w:rsid w:val="005C07DC"/>
    <w:rsid w:val="00625EAD"/>
    <w:rsid w:val="006310BA"/>
    <w:rsid w:val="006E297D"/>
    <w:rsid w:val="007100E5"/>
    <w:rsid w:val="007C1FE9"/>
    <w:rsid w:val="008F260E"/>
    <w:rsid w:val="00922F9B"/>
    <w:rsid w:val="009A247B"/>
    <w:rsid w:val="009C2F8A"/>
    <w:rsid w:val="009D7BD0"/>
    <w:rsid w:val="009E619C"/>
    <w:rsid w:val="00A02AB8"/>
    <w:rsid w:val="00A31BC0"/>
    <w:rsid w:val="00A93FA4"/>
    <w:rsid w:val="00AB6D99"/>
    <w:rsid w:val="00AB79FC"/>
    <w:rsid w:val="00B17145"/>
    <w:rsid w:val="00B66AEB"/>
    <w:rsid w:val="00B7375D"/>
    <w:rsid w:val="00B92402"/>
    <w:rsid w:val="00BD5E65"/>
    <w:rsid w:val="00C36BC3"/>
    <w:rsid w:val="00C97F3D"/>
    <w:rsid w:val="00D63AEA"/>
    <w:rsid w:val="00DA7A60"/>
    <w:rsid w:val="00E238EA"/>
    <w:rsid w:val="00E80265"/>
    <w:rsid w:val="00F44F76"/>
    <w:rsid w:val="00F46F95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30</cp:revision>
  <cp:lastPrinted>2020-05-26T06:20:00Z</cp:lastPrinted>
  <dcterms:created xsi:type="dcterms:W3CDTF">2020-05-25T11:45:00Z</dcterms:created>
  <dcterms:modified xsi:type="dcterms:W3CDTF">2020-06-10T11:29:00Z</dcterms:modified>
</cp:coreProperties>
</file>