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310988" w:rsidRDefault="00073055" w:rsidP="00073055">
      <w:pPr>
        <w:pStyle w:val="3"/>
        <w:jc w:val="center"/>
        <w:rPr>
          <w:rFonts w:ascii="Times New Roman" w:eastAsia="Times New Roman" w:hAnsi="Times New Roman" w:cs="Times New Roman"/>
          <w:bCs w:val="0"/>
          <w:color w:val="auto"/>
          <w:sz w:val="24"/>
          <w:szCs w:val="24"/>
          <w:lang w:val="kk-KZ"/>
        </w:rPr>
      </w:pPr>
      <w:r w:rsidRPr="00310988">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310988">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310988"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310988"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310988">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310988">
        <w:rPr>
          <w:rFonts w:ascii="Times New Roman" w:eastAsia="Times New Roman" w:hAnsi="Times New Roman" w:cs="Times New Roman"/>
          <w:b/>
          <w:bCs/>
          <w:iCs/>
          <w:sz w:val="24"/>
          <w:szCs w:val="24"/>
          <w:lang w:val="kk-KZ" w:eastAsia="ru-RU"/>
        </w:rPr>
        <w:fldChar w:fldCharType="begin"/>
      </w:r>
      <w:r w:rsidRPr="00310988">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310988"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310988">
        <w:rPr>
          <w:rFonts w:ascii="Times New Roman" w:eastAsia="Times New Roman" w:hAnsi="Times New Roman" w:cs="Times New Roman"/>
          <w:b/>
          <w:bCs/>
          <w:i/>
          <w:iCs/>
          <w:sz w:val="24"/>
          <w:szCs w:val="24"/>
          <w:lang w:val="kk-KZ" w:eastAsia="ru-RU"/>
        </w:rPr>
        <w:instrText xml:space="preserve"> </w:instrText>
      </w:r>
      <w:r w:rsidRPr="00310988">
        <w:rPr>
          <w:rFonts w:ascii="Times New Roman" w:eastAsia="Times New Roman" w:hAnsi="Times New Roman" w:cs="Times New Roman"/>
          <w:b/>
          <w:bCs/>
          <w:iCs/>
          <w:sz w:val="24"/>
          <w:szCs w:val="24"/>
          <w:lang w:val="kk-KZ" w:eastAsia="ru-RU"/>
        </w:rPr>
        <w:instrText xml:space="preserve">" </w:instrText>
      </w:r>
      <w:r w:rsidRPr="00310988">
        <w:rPr>
          <w:rFonts w:ascii="Times New Roman" w:eastAsia="Times New Roman" w:hAnsi="Times New Roman" w:cs="Times New Roman"/>
          <w:b/>
          <w:bCs/>
          <w:iCs/>
          <w:sz w:val="24"/>
          <w:szCs w:val="24"/>
          <w:lang w:val="kk-KZ" w:eastAsia="ru-RU"/>
        </w:rPr>
        <w:fldChar w:fldCharType="separate"/>
      </w:r>
      <w:r w:rsidRPr="00310988">
        <w:rPr>
          <w:rStyle w:val="a4"/>
          <w:rFonts w:ascii="Times New Roman" w:eastAsia="Times New Roman" w:hAnsi="Times New Roman" w:cs="Times New Roman"/>
          <w:b/>
          <w:bCs/>
          <w:iCs/>
          <w:sz w:val="24"/>
          <w:szCs w:val="24"/>
          <w:lang w:val="kk-KZ" w:eastAsia="ru-RU"/>
        </w:rPr>
        <w:t>sa.aldibekova@kgd.gov.kz,   БСН: 141140000549.</w:t>
      </w:r>
    </w:p>
    <w:p w:rsidR="00073055" w:rsidRPr="00310988" w:rsidRDefault="00073055" w:rsidP="00630B97">
      <w:pPr>
        <w:jc w:val="center"/>
        <w:rPr>
          <w:rFonts w:ascii="Times New Roman" w:hAnsi="Times New Roman" w:cs="Times New Roman"/>
          <w:sz w:val="24"/>
          <w:szCs w:val="24"/>
          <w:lang w:val="kk-KZ"/>
        </w:rPr>
      </w:pPr>
      <w:r w:rsidRPr="00310988">
        <w:rPr>
          <w:rFonts w:ascii="Times New Roman" w:eastAsia="Times New Roman" w:hAnsi="Times New Roman" w:cs="Times New Roman"/>
          <w:b/>
          <w:bCs/>
          <w:iCs/>
          <w:sz w:val="24"/>
          <w:szCs w:val="24"/>
          <w:lang w:val="kk-KZ" w:eastAsia="ru-RU"/>
        </w:rPr>
        <w:fldChar w:fldCharType="end"/>
      </w:r>
      <w:r w:rsidRPr="00310988">
        <w:rPr>
          <w:rFonts w:ascii="Times New Roman" w:hAnsi="Times New Roman" w:cs="Times New Roman"/>
          <w:sz w:val="24"/>
          <w:szCs w:val="24"/>
          <w:lang w:val="kk-KZ"/>
        </w:rPr>
        <w:t xml:space="preserve"> </w:t>
      </w:r>
    </w:p>
    <w:p w:rsidR="0054114A" w:rsidRPr="00310988" w:rsidRDefault="0054114A" w:rsidP="0054114A">
      <w:pPr>
        <w:jc w:val="center"/>
        <w:rPr>
          <w:rFonts w:ascii="Times New Roman" w:hAnsi="Times New Roman" w:cs="Times New Roman"/>
          <w:b/>
          <w:sz w:val="24"/>
          <w:szCs w:val="24"/>
          <w:lang w:val="kk-KZ"/>
        </w:rPr>
      </w:pPr>
      <w:r w:rsidRPr="00310988">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54114A" w:rsidRPr="00310988"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t>жоғары немесе жоғары оқу орнынан кейінгі білім;</w:t>
      </w:r>
    </w:p>
    <w:p w:rsidR="0054114A" w:rsidRPr="00310988"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t>мынадай құзыреттердің бар болуы: стресске орнықтылық, бастамашылдық,</w:t>
      </w:r>
    </w:p>
    <w:p w:rsidR="0054114A" w:rsidRPr="00310988"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54114A" w:rsidRPr="00310988"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310988">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54114A" w:rsidRPr="00310988" w:rsidRDefault="0054114A" w:rsidP="0054114A">
      <w:pPr>
        <w:spacing w:after="0" w:line="240" w:lineRule="auto"/>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жұмыс тәжірибесі талап етілмейді.</w:t>
      </w:r>
    </w:p>
    <w:p w:rsidR="0054114A" w:rsidRPr="00310988" w:rsidRDefault="0054114A" w:rsidP="0054114A">
      <w:pPr>
        <w:spacing w:after="0" w:line="240" w:lineRule="auto"/>
        <w:jc w:val="both"/>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54114A" w:rsidRPr="00310988" w:rsidRDefault="0054114A" w:rsidP="0054114A">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54114A" w:rsidRPr="00310988" w:rsidRDefault="0054114A" w:rsidP="00073055">
      <w:pPr>
        <w:spacing w:after="0" w:line="240" w:lineRule="auto"/>
        <w:jc w:val="both"/>
        <w:rPr>
          <w:rFonts w:ascii="Times New Roman" w:hAnsi="Times New Roman" w:cs="Times New Roman"/>
          <w:sz w:val="24"/>
          <w:szCs w:val="24"/>
          <w:lang w:val="kk-KZ"/>
        </w:rPr>
      </w:pPr>
    </w:p>
    <w:p w:rsidR="00073055" w:rsidRPr="00310988" w:rsidRDefault="00073055" w:rsidP="00347F3F">
      <w:pPr>
        <w:spacing w:after="0" w:line="240" w:lineRule="auto"/>
        <w:jc w:val="both"/>
        <w:rPr>
          <w:rFonts w:ascii="Times New Roman" w:eastAsia="Calibri" w:hAnsi="Times New Roman" w:cs="Times New Roman"/>
          <w:b/>
          <w:i/>
          <w:sz w:val="24"/>
          <w:szCs w:val="24"/>
          <w:lang w:val="kk-KZ"/>
        </w:rPr>
      </w:pPr>
      <w:r w:rsidRPr="00310988">
        <w:rPr>
          <w:rFonts w:ascii="Times New Roman" w:eastAsia="Times New Roman" w:hAnsi="Times New Roman" w:cs="Times New Roman"/>
          <w:bCs/>
          <w:iCs/>
          <w:color w:val="000000"/>
          <w:sz w:val="24"/>
          <w:szCs w:val="24"/>
          <w:lang w:val="kk-KZ" w:eastAsia="ru-RU"/>
        </w:rPr>
        <w:t xml:space="preserve">       </w:t>
      </w:r>
      <w:r w:rsidRPr="00310988">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310988"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310988" w:rsidRDefault="00073055" w:rsidP="0056163E">
            <w:pPr>
              <w:keepNext/>
              <w:ind w:left="23" w:right="-62"/>
              <w:jc w:val="center"/>
              <w:rPr>
                <w:rFonts w:ascii="Times New Roman" w:eastAsia="Calibri" w:hAnsi="Times New Roman" w:cs="Times New Roman"/>
                <w:b/>
                <w:bCs/>
                <w:i/>
                <w:iCs/>
                <w:sz w:val="24"/>
                <w:szCs w:val="24"/>
                <w:lang w:val="kk-KZ"/>
              </w:rPr>
            </w:pPr>
            <w:r w:rsidRPr="00310988">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310988" w:rsidRDefault="00073055" w:rsidP="0056163E">
            <w:pPr>
              <w:keepNext/>
              <w:ind w:right="266"/>
              <w:jc w:val="center"/>
              <w:rPr>
                <w:rFonts w:ascii="Times New Roman" w:eastAsia="Calibri" w:hAnsi="Times New Roman" w:cs="Times New Roman"/>
                <w:b/>
                <w:bCs/>
                <w:i/>
                <w:iCs/>
                <w:sz w:val="24"/>
                <w:szCs w:val="24"/>
                <w:lang w:val="kk-KZ"/>
              </w:rPr>
            </w:pPr>
            <w:r w:rsidRPr="00310988">
              <w:rPr>
                <w:rFonts w:ascii="Times New Roman" w:eastAsia="Calibri" w:hAnsi="Times New Roman" w:cs="Times New Roman"/>
                <w:b/>
                <w:sz w:val="24"/>
                <w:szCs w:val="24"/>
                <w:lang w:val="kk-KZ"/>
              </w:rPr>
              <w:t>Еңбек сіңірген жылдарына байланысты</w:t>
            </w:r>
          </w:p>
        </w:tc>
      </w:tr>
      <w:tr w:rsidR="00073055" w:rsidRPr="00310988"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310988"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310988" w:rsidRDefault="00073055" w:rsidP="0056163E">
            <w:pPr>
              <w:keepNext/>
              <w:ind w:right="96"/>
              <w:jc w:val="center"/>
              <w:rPr>
                <w:rFonts w:ascii="Times New Roman" w:eastAsia="Calibri" w:hAnsi="Times New Roman" w:cs="Times New Roman"/>
                <w:b/>
                <w:bCs/>
                <w:i/>
                <w:iCs/>
                <w:sz w:val="24"/>
                <w:szCs w:val="24"/>
                <w:lang w:val="kk-KZ"/>
              </w:rPr>
            </w:pPr>
            <w:r w:rsidRPr="00310988">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310988" w:rsidRDefault="00073055" w:rsidP="0056163E">
            <w:pPr>
              <w:keepNext/>
              <w:ind w:left="28"/>
              <w:jc w:val="center"/>
              <w:rPr>
                <w:rFonts w:ascii="Times New Roman" w:eastAsia="Calibri" w:hAnsi="Times New Roman" w:cs="Times New Roman"/>
                <w:b/>
                <w:bCs/>
                <w:i/>
                <w:iCs/>
                <w:sz w:val="24"/>
                <w:szCs w:val="24"/>
                <w:lang w:val="kk-KZ"/>
              </w:rPr>
            </w:pPr>
            <w:r w:rsidRPr="00310988">
              <w:rPr>
                <w:rFonts w:ascii="Times New Roman" w:eastAsia="Calibri" w:hAnsi="Times New Roman" w:cs="Times New Roman"/>
                <w:b/>
                <w:sz w:val="24"/>
                <w:szCs w:val="24"/>
                <w:lang w:val="kk-KZ"/>
              </w:rPr>
              <w:t>max</w:t>
            </w:r>
          </w:p>
        </w:tc>
      </w:tr>
      <w:tr w:rsidR="0054114A" w:rsidRPr="00310988" w:rsidTr="00E509F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54114A" w:rsidRPr="00310988" w:rsidRDefault="0054114A" w:rsidP="009B3DD0">
            <w:pPr>
              <w:keepNext/>
              <w:ind w:left="-1440" w:right="96" w:firstLine="1440"/>
              <w:jc w:val="center"/>
              <w:rPr>
                <w:rFonts w:ascii="Times New Roman" w:eastAsia="Calibri" w:hAnsi="Times New Roman" w:cs="Times New Roman"/>
                <w:b/>
                <w:i/>
                <w:sz w:val="24"/>
                <w:szCs w:val="24"/>
                <w:lang w:val="kk-KZ"/>
              </w:rPr>
            </w:pPr>
            <w:r w:rsidRPr="00310988">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54114A" w:rsidRPr="00310988" w:rsidRDefault="0054114A" w:rsidP="009B3DD0">
            <w:pPr>
              <w:keepNext/>
              <w:widowControl w:val="0"/>
              <w:ind w:left="-1440" w:right="96" w:firstLine="1440"/>
              <w:jc w:val="center"/>
              <w:rPr>
                <w:rFonts w:ascii="Times New Roman" w:eastAsia="Calibri" w:hAnsi="Times New Roman" w:cs="Times New Roman"/>
                <w:b/>
                <w:i/>
                <w:sz w:val="24"/>
                <w:szCs w:val="24"/>
                <w:lang w:val="kk-KZ"/>
              </w:rPr>
            </w:pPr>
            <w:r w:rsidRPr="00310988">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54114A" w:rsidRPr="00310988" w:rsidRDefault="0054114A" w:rsidP="009B3DD0">
            <w:pPr>
              <w:keepNext/>
              <w:ind w:left="-1440" w:right="96" w:firstLine="1440"/>
              <w:jc w:val="center"/>
              <w:rPr>
                <w:rFonts w:ascii="Times New Roman" w:eastAsia="Calibri" w:hAnsi="Times New Roman" w:cs="Times New Roman"/>
                <w:b/>
                <w:i/>
                <w:sz w:val="24"/>
                <w:szCs w:val="24"/>
                <w:lang w:val="kk-KZ"/>
              </w:rPr>
            </w:pPr>
            <w:r w:rsidRPr="00310988">
              <w:rPr>
                <w:rFonts w:ascii="Times New Roman" w:eastAsia="Calibri" w:hAnsi="Times New Roman" w:cs="Times New Roman"/>
                <w:b/>
                <w:i/>
                <w:sz w:val="24"/>
                <w:szCs w:val="24"/>
                <w:lang w:val="kk-KZ"/>
              </w:rPr>
              <w:t>146 177</w:t>
            </w:r>
          </w:p>
        </w:tc>
      </w:tr>
    </w:tbl>
    <w:p w:rsidR="00B20978" w:rsidRPr="00310988"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BD0E4A" w:rsidRPr="00310988" w:rsidRDefault="003238D9" w:rsidP="003238D9">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Cs/>
          <w:iCs/>
          <w:color w:val="000000"/>
          <w:sz w:val="24"/>
          <w:szCs w:val="24"/>
          <w:lang w:val="kk-KZ" w:eastAsia="ru-RU"/>
        </w:rPr>
        <w:t xml:space="preserve">     </w:t>
      </w:r>
    </w:p>
    <w:p w:rsidR="00310988" w:rsidRPr="00310988" w:rsidRDefault="00310988" w:rsidP="00310988">
      <w:pPr>
        <w:pStyle w:val="a3"/>
        <w:widowControl w:val="0"/>
        <w:numPr>
          <w:ilvl w:val="0"/>
          <w:numId w:val="1"/>
        </w:numPr>
        <w:tabs>
          <w:tab w:val="left" w:pos="-1405"/>
          <w:tab w:val="left" w:pos="9554"/>
        </w:tabs>
        <w:spacing w:after="0" w:line="240" w:lineRule="auto"/>
        <w:jc w:val="both"/>
        <w:outlineLvl w:val="0"/>
        <w:rPr>
          <w:rFonts w:ascii="Times New Roman" w:hAnsi="Times New Roman" w:cs="Times New Roman"/>
          <w:b/>
          <w:sz w:val="24"/>
          <w:szCs w:val="24"/>
          <w:lang w:val="kk-KZ"/>
        </w:rPr>
      </w:pPr>
      <w:r w:rsidRPr="00310988">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департаментінің</w:t>
      </w:r>
      <w:r w:rsidRPr="00310988">
        <w:rPr>
          <w:rFonts w:ascii="Times New Roman" w:hAnsi="Times New Roman" w:cs="Times New Roman"/>
          <w:b/>
          <w:sz w:val="24"/>
          <w:szCs w:val="24"/>
          <w:lang w:val="kk-KZ"/>
        </w:rPr>
        <w:t xml:space="preserve"> </w:t>
      </w:r>
      <w:r w:rsidRPr="00310988">
        <w:rPr>
          <w:rFonts w:ascii="Times New Roman" w:hAnsi="Times New Roman" w:cs="Times New Roman"/>
          <w:b/>
          <w:bCs/>
          <w:sz w:val="24"/>
          <w:szCs w:val="24"/>
          <w:lang w:val="kk-KZ"/>
        </w:rPr>
        <w:t>Тауарлар шығарылғаннан кейінгі кедендік бақылау басқармасының</w:t>
      </w:r>
      <w:r w:rsidRPr="00310988">
        <w:rPr>
          <w:rFonts w:ascii="Times New Roman" w:hAnsi="Times New Roman" w:cs="Times New Roman"/>
          <w:b/>
          <w:sz w:val="24"/>
          <w:szCs w:val="24"/>
          <w:lang w:val="kk-KZ"/>
        </w:rPr>
        <w:t xml:space="preserve"> Көшпелі кедендік тексерулер бөлімінің бас маманы, С-О-5 санаты, 2 бірлік, № ТШККББ 2-2-3.</w:t>
      </w:r>
      <w:r w:rsidRPr="00310988">
        <w:rPr>
          <w:rFonts w:ascii="Times New Roman" w:hAnsi="Times New Roman" w:cs="Times New Roman"/>
          <w:b/>
          <w:sz w:val="24"/>
          <w:szCs w:val="24"/>
          <w:lang w:val="kk-KZ"/>
        </w:rPr>
        <w:tab/>
      </w:r>
    </w:p>
    <w:p w:rsidR="00310988" w:rsidRPr="00310988" w:rsidRDefault="00310988" w:rsidP="00310988">
      <w:pPr>
        <w:spacing w:after="0" w:line="240" w:lineRule="auto"/>
        <w:jc w:val="both"/>
        <w:rPr>
          <w:sz w:val="24"/>
          <w:szCs w:val="24"/>
          <w:lang w:val="kk-KZ"/>
        </w:rPr>
      </w:pPr>
      <w:r w:rsidRPr="00310988">
        <w:rPr>
          <w:rFonts w:ascii="Times New Roman" w:hAnsi="Times New Roman" w:cs="Times New Roman"/>
          <w:b/>
          <w:sz w:val="24"/>
          <w:szCs w:val="24"/>
          <w:lang w:val="kk-KZ"/>
        </w:rPr>
        <w:t xml:space="preserve">     Функционалдық міндеттері:</w:t>
      </w:r>
      <w:r w:rsidRPr="00310988">
        <w:rPr>
          <w:sz w:val="24"/>
          <w:szCs w:val="24"/>
          <w:lang w:val="kk-KZ"/>
        </w:rPr>
        <w:t xml:space="preserve"> </w:t>
      </w:r>
      <w:r w:rsidRPr="00310988">
        <w:rPr>
          <w:rFonts w:ascii="Times New Roman" w:hAnsi="Times New Roman" w:cs="Times New Roman"/>
          <w:sz w:val="24"/>
          <w:szCs w:val="24"/>
          <w:lang w:val="kk-KZ"/>
        </w:rPr>
        <w:t xml:space="preserve">Кеден одағы мен Қазақстан Республикасының кеден заңнамасын, халықаралық шарттарды және кеден ісі саласындағы өзге де заңнаманы сақтау мәніне тауарлар шығарылғаннан кейін көшпелі және камералдық тексерулерді жүзеге асыру. Бөлімнің құзыреті шегінде сыртқы экономикалық және кеден ісі саласындағы өзге де қызметке қатысушыларға кедендік тексеру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Кіргізілген, шығарылған товарды тексеру.   Ақпараттарды жинақтау, баяндама, хаттарға шолу жасау. Кедендік тексерулердің сапасын бақылау, кезектен тыс  кедендік тексерулердің қорытындысын талдау. Кедендік төлемдер мен салықтарды (КТмС) қосымша есептеуді жүзеге асыру; Кедендік актілерге арызданған жағдайда мемлекеттік кірістер </w:t>
      </w:r>
      <w:r w:rsidRPr="00310988">
        <w:rPr>
          <w:rFonts w:ascii="Times New Roman" w:hAnsi="Times New Roman" w:cs="Times New Roman"/>
          <w:sz w:val="24"/>
          <w:szCs w:val="24"/>
          <w:lang w:val="kk-KZ"/>
        </w:rPr>
        <w:lastRenderedPageBreak/>
        <w:t xml:space="preserve">органдарының мүддесін қорғай отырып, жауап берушінің өкілі ретінде сот отырыстарына қатысу; Кедендік тексеруге байланысты мемлекеттік, құқыққорғау және өзге де органдармен қарым-қатынас жасайды; Кедендік заңдылықтарын жетілдіру жөнінде ұсыныстар ұсынады және бұқаралық ақпарат құралдары арқылы заңға сәйкес кедендік заңдылықтарын насихаттау.  </w:t>
      </w:r>
    </w:p>
    <w:p w:rsidR="00310988" w:rsidRPr="00310988" w:rsidRDefault="00310988" w:rsidP="00310988">
      <w:pPr>
        <w:pStyle w:val="a3"/>
        <w:tabs>
          <w:tab w:val="left" w:pos="-1405"/>
          <w:tab w:val="left" w:pos="142"/>
          <w:tab w:val="left" w:pos="9554"/>
          <w:tab w:val="left" w:pos="9923"/>
        </w:tabs>
        <w:spacing w:after="0" w:line="240" w:lineRule="auto"/>
        <w:ind w:left="360" w:right="266"/>
        <w:jc w:val="both"/>
        <w:outlineLvl w:val="0"/>
        <w:rPr>
          <w:rFonts w:ascii="Times New Roman" w:hAnsi="Times New Roman" w:cs="Times New Roman"/>
          <w:sz w:val="24"/>
          <w:szCs w:val="24"/>
          <w:lang w:val="kk-KZ"/>
        </w:rPr>
      </w:pPr>
      <w:r w:rsidRPr="00310988">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310988">
        <w:rPr>
          <w:rFonts w:ascii="Times New Roman" w:eastAsia="Times New Roman" w:hAnsi="Times New Roman" w:cs="Times New Roman"/>
          <w:b/>
          <w:bCs/>
          <w:i/>
          <w:iCs/>
          <w:sz w:val="24"/>
          <w:szCs w:val="24"/>
          <w:lang w:val="kk-KZ" w:eastAsia="ru-RU"/>
        </w:rPr>
        <w:t xml:space="preserve"> </w:t>
      </w:r>
      <w:r w:rsidRPr="00310988">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менеджмент, маркетинг, Есеп және аудит, Қаржы, мемлекеттік және жергілікті басқару) немесе Құқық  немесе Жаратылыстану ғылымдары (математика, информатика).   </w:t>
      </w:r>
    </w:p>
    <w:p w:rsidR="00310988" w:rsidRPr="00310988" w:rsidRDefault="00310988"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sz w:val="24"/>
          <w:szCs w:val="24"/>
          <w:lang w:val="kk-KZ" w:eastAsia="ru-RU"/>
        </w:rPr>
      </w:pPr>
    </w:p>
    <w:p w:rsidR="00310988" w:rsidRPr="00310988" w:rsidRDefault="00310988" w:rsidP="00310988">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310988">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310988" w:rsidRPr="00310988" w:rsidRDefault="00310988" w:rsidP="00310988">
      <w:pPr>
        <w:spacing w:after="0" w:line="240" w:lineRule="auto"/>
        <w:ind w:right="178" w:firstLine="709"/>
        <w:jc w:val="both"/>
        <w:rPr>
          <w:rFonts w:ascii="Times New Roman" w:eastAsia="Times New Roman" w:hAnsi="Times New Roman" w:cs="Times New Roman"/>
          <w:sz w:val="24"/>
          <w:szCs w:val="24"/>
          <w:lang w:val="kk-KZ" w:eastAsia="ru-RU"/>
        </w:rPr>
      </w:pPr>
      <w:r w:rsidRPr="00310988">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10988" w:rsidRPr="00310988" w:rsidRDefault="00310988" w:rsidP="00310988">
      <w:pPr>
        <w:spacing w:after="0" w:line="240" w:lineRule="auto"/>
        <w:ind w:right="178" w:firstLine="709"/>
        <w:jc w:val="both"/>
        <w:rPr>
          <w:rFonts w:ascii="Times New Roman" w:eastAsia="Times New Roman" w:hAnsi="Times New Roman" w:cs="Times New Roman"/>
          <w:sz w:val="24"/>
          <w:szCs w:val="24"/>
          <w:lang w:val="kk-KZ" w:eastAsia="ru-RU"/>
        </w:rPr>
      </w:pPr>
      <w:r w:rsidRPr="00310988">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10988" w:rsidRPr="00310988" w:rsidRDefault="00310988" w:rsidP="00310988">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10988" w:rsidRPr="00310988" w:rsidRDefault="00310988" w:rsidP="00310988">
      <w:pPr>
        <w:autoSpaceDE w:val="0"/>
        <w:autoSpaceDN w:val="0"/>
        <w:adjustRightInd w:val="0"/>
        <w:spacing w:after="0" w:line="240" w:lineRule="auto"/>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310988" w:rsidRPr="00310988" w:rsidRDefault="00310988" w:rsidP="00310988">
      <w:pPr>
        <w:autoSpaceDE w:val="0"/>
        <w:autoSpaceDN w:val="0"/>
        <w:adjustRightInd w:val="0"/>
        <w:spacing w:after="0" w:line="240" w:lineRule="auto"/>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 xml:space="preserve"> </w:t>
      </w:r>
      <w:r w:rsidRPr="00310988">
        <w:rPr>
          <w:rFonts w:ascii="Times New Roman" w:hAnsi="Times New Roman" w:cs="Times New Roman"/>
          <w:sz w:val="24"/>
          <w:szCs w:val="24"/>
          <w:lang w:val="kk-KZ"/>
        </w:rPr>
        <w:tab/>
        <w:t>Ішкі конкурсқа қатысу үшін мынадай құжаттар тапсырылады:</w:t>
      </w:r>
    </w:p>
    <w:p w:rsidR="00310988" w:rsidRPr="00310988" w:rsidRDefault="00310988" w:rsidP="00310988">
      <w:pPr>
        <w:autoSpaceDE w:val="0"/>
        <w:autoSpaceDN w:val="0"/>
        <w:adjustRightInd w:val="0"/>
        <w:spacing w:after="0" w:line="240" w:lineRule="auto"/>
        <w:ind w:firstLine="708"/>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1) осы Қағидалардың 2-қосымшасына сәйкес нысандағы өтініш;</w:t>
      </w:r>
    </w:p>
    <w:p w:rsidR="00310988" w:rsidRPr="00310988" w:rsidRDefault="00310988" w:rsidP="00310988">
      <w:pPr>
        <w:autoSpaceDE w:val="0"/>
        <w:autoSpaceDN w:val="0"/>
        <w:adjustRightInd w:val="0"/>
        <w:spacing w:after="0" w:line="240" w:lineRule="auto"/>
        <w:ind w:firstLine="708"/>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310988" w:rsidRPr="00310988" w:rsidRDefault="00310988" w:rsidP="00310988">
      <w:pPr>
        <w:autoSpaceDE w:val="0"/>
        <w:autoSpaceDN w:val="0"/>
        <w:adjustRightInd w:val="0"/>
        <w:spacing w:after="0" w:line="240" w:lineRule="auto"/>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10988" w:rsidRPr="00310988" w:rsidRDefault="00310988" w:rsidP="00310988">
      <w:pPr>
        <w:autoSpaceDE w:val="0"/>
        <w:autoSpaceDN w:val="0"/>
        <w:adjustRightInd w:val="0"/>
        <w:spacing w:after="0" w:line="240" w:lineRule="auto"/>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310988" w:rsidRPr="00310988" w:rsidRDefault="00310988" w:rsidP="00310988">
      <w:pPr>
        <w:autoSpaceDE w:val="0"/>
        <w:autoSpaceDN w:val="0"/>
        <w:adjustRightInd w:val="0"/>
        <w:spacing w:after="0" w:line="240" w:lineRule="auto"/>
        <w:ind w:firstLine="708"/>
        <w:jc w:val="both"/>
        <w:rPr>
          <w:rFonts w:ascii="Times New Roman" w:hAnsi="Times New Roman" w:cs="Times New Roman"/>
          <w:sz w:val="24"/>
          <w:szCs w:val="24"/>
          <w:lang w:val="kk-KZ"/>
        </w:rPr>
      </w:pPr>
      <w:r w:rsidRPr="0031098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0988" w:rsidRPr="00310988" w:rsidRDefault="00310988" w:rsidP="00310988">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
          <w:bCs/>
          <w:iCs/>
          <w:sz w:val="24"/>
          <w:szCs w:val="24"/>
          <w:lang w:val="kk-KZ" w:eastAsia="ru-RU"/>
        </w:rPr>
        <w:t xml:space="preserve">Құжаттарды қабылдау мерзімі:  </w:t>
      </w:r>
      <w:r w:rsidRPr="00310988">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310988" w:rsidRPr="00310988" w:rsidRDefault="00310988" w:rsidP="00310988">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310988">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bookmarkStart w:id="0" w:name="_GoBack"/>
      <w:bookmarkEnd w:id="0"/>
      <w:r w:rsidRPr="00C61756">
        <w:rPr>
          <w:rFonts w:ascii="Times New Roman" w:hAnsi="Times New Roman" w:cs="Times New Roman"/>
          <w:sz w:val="24"/>
          <w:szCs w:val="24"/>
          <w:lang w:val="kk-KZ"/>
        </w:rPr>
        <w:lastRenderedPageBreak/>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51706"/>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01744"/>
    <w:rsid w:val="00073055"/>
    <w:rsid w:val="0011004E"/>
    <w:rsid w:val="00121161"/>
    <w:rsid w:val="002110DC"/>
    <w:rsid w:val="00310988"/>
    <w:rsid w:val="003238D9"/>
    <w:rsid w:val="00347F3F"/>
    <w:rsid w:val="003D7BA0"/>
    <w:rsid w:val="00460050"/>
    <w:rsid w:val="004876FE"/>
    <w:rsid w:val="00515C32"/>
    <w:rsid w:val="0054114A"/>
    <w:rsid w:val="00556F94"/>
    <w:rsid w:val="005A6792"/>
    <w:rsid w:val="00612813"/>
    <w:rsid w:val="00620238"/>
    <w:rsid w:val="00630B97"/>
    <w:rsid w:val="00657B70"/>
    <w:rsid w:val="006A39B0"/>
    <w:rsid w:val="006F3180"/>
    <w:rsid w:val="008605CD"/>
    <w:rsid w:val="009A7206"/>
    <w:rsid w:val="009C1D2D"/>
    <w:rsid w:val="009E1B60"/>
    <w:rsid w:val="00A31D54"/>
    <w:rsid w:val="00AF07EE"/>
    <w:rsid w:val="00B20978"/>
    <w:rsid w:val="00B436FE"/>
    <w:rsid w:val="00BD0E4A"/>
    <w:rsid w:val="00C61756"/>
    <w:rsid w:val="00D25455"/>
    <w:rsid w:val="00D80DDF"/>
    <w:rsid w:val="00DC51A3"/>
    <w:rsid w:val="00DC7E32"/>
    <w:rsid w:val="00EE4CDE"/>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19</cp:revision>
  <dcterms:created xsi:type="dcterms:W3CDTF">2020-05-25T11:46:00Z</dcterms:created>
  <dcterms:modified xsi:type="dcterms:W3CDTF">2020-10-19T12:02:00Z</dcterms:modified>
</cp:coreProperties>
</file>