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bookmarkStart w:id="0" w:name="_GoBack"/>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bookmarkEnd w:id="0"/>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D12C78">
        <w:rPr>
          <w:b w:val="0"/>
          <w:i w:val="0"/>
          <w:color w:val="000000"/>
          <w:lang w:val="kk-KZ"/>
        </w:rPr>
        <w:t xml:space="preserve"> </w:t>
      </w:r>
      <w:r w:rsidR="007F6A80">
        <w:rPr>
          <w:b w:val="0"/>
          <w:i w:val="0"/>
          <w:color w:val="000000"/>
          <w:lang w:val="kk-KZ"/>
        </w:rPr>
        <w:t>27.01.2020. – 29.01.2020ж</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w:t>
      </w:r>
      <w:r w:rsidRPr="00BB2C4C">
        <w:rPr>
          <w:b w:val="0"/>
          <w:i w:val="0"/>
          <w:iCs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2B7C26"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86637E">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00A5034E" w:rsidRPr="00071D0A">
        <w:rPr>
          <w:rFonts w:ascii="Times New Roman" w:hAnsi="Times New Roman" w:cs="Times New Roman"/>
          <w:b/>
          <w:sz w:val="28"/>
          <w:szCs w:val="28"/>
          <w:lang w:val="kk-KZ"/>
        </w:rPr>
        <w:t>бөлімінің  бас маманы</w:t>
      </w:r>
      <w:r w:rsidR="0086637E">
        <w:rPr>
          <w:rFonts w:ascii="Times New Roman" w:hAnsi="Times New Roman" w:cs="Times New Roman"/>
          <w:b/>
          <w:sz w:val="28"/>
          <w:szCs w:val="28"/>
          <w:lang w:val="kk-KZ"/>
        </w:rPr>
        <w:t xml:space="preserve"> ( уақытша, негізгі қызметкердің бала күту  демалысы  мерзіміне  01.07.2022 жылға дейін)</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4930CF">
        <w:rPr>
          <w:rFonts w:ascii="Times New Roman" w:hAnsi="Times New Roman" w:cs="Times New Roman"/>
          <w:b/>
          <w:color w:val="000000"/>
          <w:sz w:val="28"/>
          <w:szCs w:val="28"/>
          <w:lang w:val="kk-KZ"/>
        </w:rPr>
        <w:t xml:space="preserve"> 1 бірлік,</w:t>
      </w:r>
      <w:r w:rsidR="00A5034E" w:rsidRPr="00071D0A">
        <w:rPr>
          <w:rFonts w:ascii="Times New Roman" w:hAnsi="Times New Roman" w:cs="Times New Roman"/>
          <w:b/>
          <w:color w:val="000000"/>
          <w:sz w:val="28"/>
          <w:szCs w:val="28"/>
          <w:lang w:val="kk-KZ"/>
        </w:rPr>
        <w:t xml:space="preserve"> №</w:t>
      </w:r>
      <w:r w:rsidR="0086637E">
        <w:rPr>
          <w:rFonts w:ascii="Times New Roman" w:hAnsi="Times New Roman" w:cs="Times New Roman"/>
          <w:b/>
          <w:color w:val="000000"/>
          <w:sz w:val="28"/>
          <w:szCs w:val="28"/>
          <w:lang w:val="kk-KZ"/>
        </w:rPr>
        <w:t>03-2-2</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5034E"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86637E" w:rsidRPr="0086637E">
        <w:rPr>
          <w:b w:val="0"/>
          <w:i w:val="0"/>
          <w:color w:val="000000"/>
          <w:lang w:val="kk-KZ"/>
        </w:rPr>
        <w:t xml:space="preserve">Құжаттарды ҚР ТСАЖ (ИНИС РК), ЖШЕА АЖ (ИС ЦУЛС), СЕОЖ АЖ (ИС СОНО), БДҚ ХТ (ЕХД РВУ), ЭҚБЖ (ЕСЭДО) және МО ИП (ИПГО)ақпараттық жүйелерінің көмегімен қабылдап, өңдеуді қамтамасыз ету.Аудан бойынша салық төлеушілерден салық есептілігі нысандарын қабылдап, салық есептіліктерінен шыққан бұзушылықты жою </w:t>
      </w:r>
      <w:r w:rsidR="0086637E" w:rsidRPr="0086637E">
        <w:rPr>
          <w:b w:val="0"/>
          <w:i w:val="0"/>
          <w:color w:val="000000"/>
          <w:lang w:val="kk-KZ"/>
        </w:rPr>
        <w:lastRenderedPageBreak/>
        <w:t>жөнінде хабарламаны тапсыру жұмысын бақылау. Есеп беру кезеңіндегі бөлім мен қызметкерлердің жұмыс қорытындысын шығару; 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D517C8" w:rsidRDefault="00D517C8" w:rsidP="00A5034E">
      <w:pPr>
        <w:ind w:firstLine="708"/>
        <w:contextualSpacing/>
        <w:jc w:val="both"/>
        <w:rPr>
          <w:b w:val="0"/>
          <w:i w:val="0"/>
          <w:color w:val="000000"/>
          <w:lang w:val="kk-KZ"/>
        </w:rPr>
      </w:pPr>
    </w:p>
    <w:p w:rsidR="00F606CE" w:rsidRDefault="00F606CE"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Pr="00A71062" w:rsidRDefault="00954909"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954909" w:rsidRDefault="00EF171B" w:rsidP="00EF171B">
      <w:pPr>
        <w:autoSpaceDE w:val="0"/>
        <w:autoSpaceDN w:val="0"/>
        <w:adjustRightInd w:val="0"/>
        <w:jc w:val="both"/>
        <w:rPr>
          <w:b w:val="0"/>
          <w:i w:val="0"/>
          <w:sz w:val="24"/>
          <w:szCs w:val="24"/>
          <w:lang w:val="kk-KZ"/>
        </w:rPr>
      </w:pPr>
      <w:r w:rsidRPr="00EF171B">
        <w:rPr>
          <w:b w:val="0"/>
          <w:i w:val="0"/>
          <w:sz w:val="24"/>
          <w:szCs w:val="24"/>
          <w:lang w:val="kk-KZ"/>
        </w:rPr>
        <w:t xml:space="preserve">Мекен жайы және байланыс телефоны </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w:t>
      </w:r>
      <w:proofErr w:type="gramStart"/>
      <w:r w:rsidRPr="00EF171B">
        <w:rPr>
          <w:b w:val="0"/>
          <w:i w:val="0"/>
          <w:color w:val="000000"/>
          <w:sz w:val="24"/>
          <w:szCs w:val="24"/>
        </w:rPr>
        <w:t>_»_</w:t>
      </w:r>
      <w:proofErr w:type="gramEnd"/>
      <w:r w:rsidRPr="00EF171B">
        <w:rPr>
          <w:b w:val="0"/>
          <w:i w:val="0"/>
          <w:color w:val="000000"/>
          <w:sz w:val="24"/>
          <w:szCs w:val="24"/>
        </w:rPr>
        <w:t>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C7" w:rsidRDefault="001E1DC7" w:rsidP="008046E6">
      <w:r>
        <w:separator/>
      </w:r>
    </w:p>
  </w:endnote>
  <w:endnote w:type="continuationSeparator" w:id="0">
    <w:p w:rsidR="001E1DC7" w:rsidRDefault="001E1DC7"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C7" w:rsidRDefault="001E1DC7" w:rsidP="008046E6">
      <w:r>
        <w:separator/>
      </w:r>
    </w:p>
  </w:footnote>
  <w:footnote w:type="continuationSeparator" w:id="0">
    <w:p w:rsidR="001E1DC7" w:rsidRDefault="001E1DC7"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831590">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778" w:rsidRPr="00081778" w:rsidRDefault="00081778">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081778" w:rsidRPr="00081778" w:rsidRDefault="00081778">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25DAE"/>
    <w:rsid w:val="0005178D"/>
    <w:rsid w:val="00071D0A"/>
    <w:rsid w:val="00081778"/>
    <w:rsid w:val="000853AD"/>
    <w:rsid w:val="0009466D"/>
    <w:rsid w:val="000A7211"/>
    <w:rsid w:val="000B1966"/>
    <w:rsid w:val="000B7BC0"/>
    <w:rsid w:val="000C0ABA"/>
    <w:rsid w:val="000F2CCA"/>
    <w:rsid w:val="000F4130"/>
    <w:rsid w:val="000F65DA"/>
    <w:rsid w:val="000F6651"/>
    <w:rsid w:val="000F7E9B"/>
    <w:rsid w:val="001160CD"/>
    <w:rsid w:val="001272E4"/>
    <w:rsid w:val="00133965"/>
    <w:rsid w:val="00137DBE"/>
    <w:rsid w:val="001874BE"/>
    <w:rsid w:val="001B068C"/>
    <w:rsid w:val="001B6CD0"/>
    <w:rsid w:val="001C31C9"/>
    <w:rsid w:val="001C60B1"/>
    <w:rsid w:val="001E1DC7"/>
    <w:rsid w:val="001F49E5"/>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B7C26"/>
    <w:rsid w:val="002F479F"/>
    <w:rsid w:val="0031402F"/>
    <w:rsid w:val="00333310"/>
    <w:rsid w:val="00335623"/>
    <w:rsid w:val="0034388D"/>
    <w:rsid w:val="00363BFA"/>
    <w:rsid w:val="00363CDC"/>
    <w:rsid w:val="00390699"/>
    <w:rsid w:val="003927C2"/>
    <w:rsid w:val="003A7F99"/>
    <w:rsid w:val="003B6C08"/>
    <w:rsid w:val="003D4A31"/>
    <w:rsid w:val="003E657F"/>
    <w:rsid w:val="003F5AD8"/>
    <w:rsid w:val="00405BE3"/>
    <w:rsid w:val="004116ED"/>
    <w:rsid w:val="00417EBF"/>
    <w:rsid w:val="00424923"/>
    <w:rsid w:val="00427FD4"/>
    <w:rsid w:val="00437E59"/>
    <w:rsid w:val="00456F60"/>
    <w:rsid w:val="004615DA"/>
    <w:rsid w:val="004930CF"/>
    <w:rsid w:val="0049680F"/>
    <w:rsid w:val="004B71AC"/>
    <w:rsid w:val="004C0337"/>
    <w:rsid w:val="004C2D80"/>
    <w:rsid w:val="004D0341"/>
    <w:rsid w:val="004D7DA3"/>
    <w:rsid w:val="004E0E9A"/>
    <w:rsid w:val="004F3918"/>
    <w:rsid w:val="00500C91"/>
    <w:rsid w:val="0050576C"/>
    <w:rsid w:val="0051332F"/>
    <w:rsid w:val="00532760"/>
    <w:rsid w:val="00534098"/>
    <w:rsid w:val="00541C44"/>
    <w:rsid w:val="00546E4F"/>
    <w:rsid w:val="0055117C"/>
    <w:rsid w:val="005672C8"/>
    <w:rsid w:val="005673AA"/>
    <w:rsid w:val="00577E5A"/>
    <w:rsid w:val="005827DE"/>
    <w:rsid w:val="00584029"/>
    <w:rsid w:val="005F5CC5"/>
    <w:rsid w:val="00633F09"/>
    <w:rsid w:val="006602B8"/>
    <w:rsid w:val="00671D9C"/>
    <w:rsid w:val="00685BEF"/>
    <w:rsid w:val="00686FD0"/>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7F6A80"/>
    <w:rsid w:val="008046E6"/>
    <w:rsid w:val="00823038"/>
    <w:rsid w:val="00824217"/>
    <w:rsid w:val="0082595C"/>
    <w:rsid w:val="00831590"/>
    <w:rsid w:val="00843F9A"/>
    <w:rsid w:val="0086637E"/>
    <w:rsid w:val="00866E6D"/>
    <w:rsid w:val="00875A33"/>
    <w:rsid w:val="0088688F"/>
    <w:rsid w:val="008A4BD9"/>
    <w:rsid w:val="008A59AF"/>
    <w:rsid w:val="008B5D87"/>
    <w:rsid w:val="008E4C18"/>
    <w:rsid w:val="008F3FD9"/>
    <w:rsid w:val="00902802"/>
    <w:rsid w:val="00905310"/>
    <w:rsid w:val="009121A8"/>
    <w:rsid w:val="0095391A"/>
    <w:rsid w:val="00954909"/>
    <w:rsid w:val="00954B44"/>
    <w:rsid w:val="00962594"/>
    <w:rsid w:val="0096416A"/>
    <w:rsid w:val="009930DA"/>
    <w:rsid w:val="009942F9"/>
    <w:rsid w:val="00995166"/>
    <w:rsid w:val="009961B6"/>
    <w:rsid w:val="009D2DB9"/>
    <w:rsid w:val="009E6FB3"/>
    <w:rsid w:val="009F1FFE"/>
    <w:rsid w:val="009F68DE"/>
    <w:rsid w:val="009F79D6"/>
    <w:rsid w:val="00A019A1"/>
    <w:rsid w:val="00A23A86"/>
    <w:rsid w:val="00A26A68"/>
    <w:rsid w:val="00A358EB"/>
    <w:rsid w:val="00A5034E"/>
    <w:rsid w:val="00A5447A"/>
    <w:rsid w:val="00A56FB8"/>
    <w:rsid w:val="00A669E2"/>
    <w:rsid w:val="00A71062"/>
    <w:rsid w:val="00A80A10"/>
    <w:rsid w:val="00AA4B48"/>
    <w:rsid w:val="00AD6BB0"/>
    <w:rsid w:val="00AF1EC3"/>
    <w:rsid w:val="00B35A4A"/>
    <w:rsid w:val="00B56660"/>
    <w:rsid w:val="00B57069"/>
    <w:rsid w:val="00B666EB"/>
    <w:rsid w:val="00B668DB"/>
    <w:rsid w:val="00B70D70"/>
    <w:rsid w:val="00B81B74"/>
    <w:rsid w:val="00B96956"/>
    <w:rsid w:val="00BA527D"/>
    <w:rsid w:val="00BB2C4C"/>
    <w:rsid w:val="00BE0977"/>
    <w:rsid w:val="00BF2714"/>
    <w:rsid w:val="00C07A8B"/>
    <w:rsid w:val="00C17734"/>
    <w:rsid w:val="00C2301F"/>
    <w:rsid w:val="00C32F04"/>
    <w:rsid w:val="00C3335D"/>
    <w:rsid w:val="00C33F1B"/>
    <w:rsid w:val="00C41E3D"/>
    <w:rsid w:val="00C71C82"/>
    <w:rsid w:val="00C7272B"/>
    <w:rsid w:val="00CA3A52"/>
    <w:rsid w:val="00CB37FF"/>
    <w:rsid w:val="00CC7FA8"/>
    <w:rsid w:val="00CD7731"/>
    <w:rsid w:val="00CE5CE0"/>
    <w:rsid w:val="00CF1157"/>
    <w:rsid w:val="00CF5836"/>
    <w:rsid w:val="00D022A5"/>
    <w:rsid w:val="00D12C78"/>
    <w:rsid w:val="00D24DDB"/>
    <w:rsid w:val="00D517C8"/>
    <w:rsid w:val="00D71FF2"/>
    <w:rsid w:val="00D81727"/>
    <w:rsid w:val="00D82A9A"/>
    <w:rsid w:val="00D8431E"/>
    <w:rsid w:val="00D858EF"/>
    <w:rsid w:val="00D861EE"/>
    <w:rsid w:val="00D97B01"/>
    <w:rsid w:val="00DB0673"/>
    <w:rsid w:val="00DB1174"/>
    <w:rsid w:val="00DC104E"/>
    <w:rsid w:val="00DC1695"/>
    <w:rsid w:val="00DC18BC"/>
    <w:rsid w:val="00DD16C8"/>
    <w:rsid w:val="00DE0BF3"/>
    <w:rsid w:val="00DF2513"/>
    <w:rsid w:val="00E276EE"/>
    <w:rsid w:val="00E300F1"/>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606CE"/>
    <w:rsid w:val="00F61B28"/>
    <w:rsid w:val="00F81ADA"/>
    <w:rsid w:val="00FA182F"/>
    <w:rsid w:val="00FA781F"/>
    <w:rsid w:val="00FC3AEA"/>
    <w:rsid w:val="00FD5F73"/>
    <w:rsid w:val="00FD6A97"/>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149D"/>
  <w15:docId w15:val="{3C30D971-EE32-406C-ADAA-9EE40AF3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04A2-C632-4B1B-8CDE-DDF5D040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2018-09-03T13:15:00Z</cp:lastPrinted>
  <dcterms:created xsi:type="dcterms:W3CDTF">2020-01-24T12:23:00Z</dcterms:created>
  <dcterms:modified xsi:type="dcterms:W3CDTF">2020-01-31T13:06:00Z</dcterms:modified>
</cp:coreProperties>
</file>