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tbl>
                  <w:tblPr>
                    <w:tblW w:w="0" w:type="auto"/>
                    <w:tblLayout w:type="fixed"/>
                    <w:tblLook w:val="0000" w:firstRow="0" w:lastRow="0" w:firstColumn="0" w:lastColumn="0" w:noHBand="0" w:noVBand="0"/>
                  </w:tblPr>
                  <w:tblGrid>
                    <w:gridCol w:w="8923"/>
                  </w:tblGrid>
                  <w:tr w:rsidR="00852BF7" w:rsidTr="00852BF7">
                    <w:tc>
                      <w:tcPr>
                        <w:tcW w:w="8923" w:type="dxa"/>
                        <w:shd w:val="clear" w:color="auto" w:fill="auto"/>
                      </w:tcPr>
                      <w:p w:rsidR="00852BF7" w:rsidRPr="00852BF7" w:rsidRDefault="00852BF7" w:rsidP="007D7F47">
                        <w:pPr>
                          <w:pStyle w:val="3"/>
                          <w:rPr>
                            <w:rFonts w:ascii="Times New Roman" w:eastAsia="Times New Roman" w:hAnsi="Times New Roman" w:cs="Times New Roman"/>
                            <w:b w:val="0"/>
                            <w:iCs/>
                            <w:color w:val="0C0000"/>
                            <w:sz w:val="24"/>
                            <w:szCs w:val="28"/>
                            <w:lang w:val="kk-KZ" w:eastAsia="ru-RU"/>
                          </w:rPr>
                        </w:pPr>
                      </w:p>
                    </w:tc>
                  </w:tr>
                </w:tbl>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AB15C4"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AB15C4" w:rsidRPr="00AB15C4">
        <w:rPr>
          <w:rFonts w:ascii="Times New Roman" w:eastAsia="Times New Roman" w:hAnsi="Times New Roman" w:cs="Times New Roman"/>
          <w:b/>
          <w:bCs/>
          <w:iCs/>
          <w:sz w:val="28"/>
          <w:szCs w:val="28"/>
          <w:lang w:val="kk-KZ" w:eastAsia="ru-RU"/>
        </w:rPr>
        <w:t xml:space="preserve"> </w:t>
      </w:r>
    </w:p>
    <w:p w:rsidR="00B80692" w:rsidRPr="00AB15C4" w:rsidRDefault="00AB15C4" w:rsidP="00B80692">
      <w:pPr>
        <w:keepNext/>
        <w:keepLines/>
        <w:widowControl w:val="0"/>
        <w:spacing w:after="0" w:line="240" w:lineRule="auto"/>
        <w:ind w:left="-567" w:firstLine="567"/>
        <w:jc w:val="center"/>
        <w:outlineLvl w:val="4"/>
        <w:rPr>
          <w:rFonts w:ascii="Times New Roman" w:eastAsia="Times New Roman" w:hAnsi="Times New Roman" w:cs="Times New Roman"/>
          <w:bCs/>
          <w:i/>
          <w:iCs/>
          <w:sz w:val="28"/>
          <w:szCs w:val="28"/>
          <w:lang w:val="kk-KZ" w:eastAsia="ru-RU"/>
        </w:rPr>
      </w:pPr>
      <w:bookmarkStart w:id="0" w:name="_GoBack"/>
      <w:bookmarkEnd w:id="0"/>
      <w:r w:rsidRPr="00AB15C4">
        <w:rPr>
          <w:rFonts w:ascii="Times New Roman" w:eastAsia="Times New Roman" w:hAnsi="Times New Roman" w:cs="Times New Roman"/>
          <w:bCs/>
          <w:i/>
          <w:iCs/>
          <w:sz w:val="28"/>
          <w:szCs w:val="28"/>
          <w:lang w:val="kk-KZ" w:eastAsia="ru-RU"/>
        </w:rPr>
        <w:t>(26.02.2020-28.02.2020г.)</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E2403A">
      <w:pPr>
        <w:spacing w:after="0" w:line="240" w:lineRule="auto"/>
        <w:ind w:firstLine="708"/>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493A55" w:rsidRDefault="00EF265E" w:rsidP="00C154EA">
      <w:pPr>
        <w:spacing w:after="0" w:line="240" w:lineRule="auto"/>
        <w:ind w:firstLine="708"/>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EF265E" w:rsidRDefault="00493A55" w:rsidP="00493A55">
      <w:pPr>
        <w:spacing w:after="0" w:line="240" w:lineRule="auto"/>
        <w:jc w:val="both"/>
        <w:rPr>
          <w:lang w:val="kk-KZ"/>
        </w:rPr>
      </w:pPr>
      <w:r>
        <w:rPr>
          <w:rStyle w:val="fontstyle01"/>
          <w:lang w:val="kk-KZ"/>
        </w:rPr>
        <w:t xml:space="preserve">       </w:t>
      </w:r>
      <w:r w:rsidR="00EF265E" w:rsidRPr="00EF265E">
        <w:rPr>
          <w:rStyle w:val="fontstyle01"/>
          <w:lang w:val="kk-KZ"/>
        </w:rPr>
        <w:t>жұмыс тәжірибесі талап етілмейді</w:t>
      </w:r>
      <w:r w:rsidR="00EF265E">
        <w:rPr>
          <w:rStyle w:val="fontstyle01"/>
          <w:lang w:val="kk-KZ"/>
        </w:rPr>
        <w:t>.</w:t>
      </w:r>
      <w:r w:rsidR="00EF265E"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BC7CB0" w:rsidRPr="00BC7CB0" w:rsidRDefault="00686E6B" w:rsidP="00686E6B">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sz w:val="28"/>
          <w:szCs w:val="28"/>
          <w:lang w:val="kk-KZ"/>
        </w:rPr>
      </w:pPr>
      <w:r w:rsidRPr="00BC7CB0">
        <w:rPr>
          <w:rFonts w:ascii="Times New Roman" w:hAnsi="Times New Roman" w:cs="Times New Roman"/>
          <w:b/>
          <w:bCs/>
          <w:sz w:val="28"/>
          <w:szCs w:val="28"/>
          <w:lang w:val="kk-KZ"/>
        </w:rPr>
        <w:t>Талдау және  тәуекелдер басқармасының</w:t>
      </w:r>
      <w:r w:rsidRPr="00BC7CB0">
        <w:rPr>
          <w:rFonts w:ascii="Times New Roman" w:hAnsi="Times New Roman" w:cs="Times New Roman"/>
          <w:b/>
          <w:sz w:val="28"/>
          <w:szCs w:val="28"/>
          <w:lang w:val="kk-KZ"/>
        </w:rPr>
        <w:t xml:space="preserve"> </w:t>
      </w:r>
      <w:r w:rsidR="00BC7CB0" w:rsidRPr="00BC7CB0">
        <w:rPr>
          <w:rFonts w:ascii="Times New Roman" w:hAnsi="Times New Roman" w:cs="Times New Roman"/>
          <w:b/>
          <w:sz w:val="28"/>
          <w:szCs w:val="28"/>
          <w:lang w:val="kk-KZ"/>
        </w:rPr>
        <w:t>талдау</w:t>
      </w:r>
      <w:r w:rsidRPr="00BC7CB0">
        <w:rPr>
          <w:rFonts w:ascii="Times New Roman" w:hAnsi="Times New Roman" w:cs="Times New Roman"/>
          <w:b/>
          <w:sz w:val="28"/>
          <w:szCs w:val="28"/>
          <w:lang w:val="kk-KZ"/>
        </w:rPr>
        <w:t xml:space="preserve"> бөлімінің бас маманы, С-О-5 санаты, 1 бірлік, </w:t>
      </w:r>
      <w:r w:rsidR="00BC7CB0" w:rsidRPr="00BC7CB0">
        <w:rPr>
          <w:rFonts w:ascii="Times New Roman" w:hAnsi="Times New Roman" w:cs="Times New Roman"/>
          <w:b/>
          <w:sz w:val="28"/>
          <w:szCs w:val="28"/>
          <w:lang w:val="kk-KZ"/>
        </w:rPr>
        <w:t xml:space="preserve">№ ТжТБ 2-2-5.                                                                                                           </w:t>
      </w:r>
    </w:p>
    <w:p w:rsidR="005A72D7" w:rsidRDefault="00686E6B" w:rsidP="005A72D7">
      <w:pPr>
        <w:pStyle w:val="a3"/>
        <w:widowControl w:val="0"/>
        <w:tabs>
          <w:tab w:val="left" w:pos="-1405"/>
          <w:tab w:val="left" w:pos="9554"/>
        </w:tabs>
        <w:spacing w:after="0" w:line="240" w:lineRule="auto"/>
        <w:ind w:left="360"/>
        <w:jc w:val="both"/>
        <w:outlineLvl w:val="0"/>
        <w:rPr>
          <w:rFonts w:ascii="Times New Roman" w:hAnsi="Times New Roman" w:cs="Times New Roman"/>
          <w:sz w:val="28"/>
          <w:szCs w:val="28"/>
          <w:lang w:val="kk-KZ"/>
        </w:rPr>
      </w:pPr>
      <w:r w:rsidRPr="00BC7CB0">
        <w:rPr>
          <w:rFonts w:ascii="Times New Roman" w:hAnsi="Times New Roman" w:cs="Times New Roman"/>
          <w:b/>
          <w:sz w:val="28"/>
          <w:szCs w:val="28"/>
          <w:lang w:val="kk-KZ"/>
        </w:rPr>
        <w:t xml:space="preserve">     Функционалдық міндеттері:</w:t>
      </w:r>
      <w:r w:rsidRPr="00BC7CB0">
        <w:rPr>
          <w:lang w:val="kk-KZ"/>
        </w:rPr>
        <w:t xml:space="preserve"> </w:t>
      </w:r>
      <w:r w:rsidR="005A72D7" w:rsidRPr="005A72D7">
        <w:rPr>
          <w:rFonts w:ascii="Times New Roman" w:hAnsi="Times New Roman" w:cs="Times New Roman"/>
          <w:sz w:val="28"/>
          <w:szCs w:val="28"/>
          <w:lang w:val="kk-KZ"/>
        </w:rPr>
        <w:t xml:space="preserve">Тапсырмаларды уақытылы және сапалы орындау, бюджетке түсетін салықтық, кедендік тағы басқа да міндетті төлемдердің түсім серпініне және болжамның орындалуына талдау </w:t>
      </w:r>
      <w:r w:rsidR="005A72D7" w:rsidRPr="005A72D7">
        <w:rPr>
          <w:rFonts w:ascii="Times New Roman" w:hAnsi="Times New Roman" w:cs="Times New Roman"/>
          <w:sz w:val="28"/>
          <w:szCs w:val="28"/>
          <w:lang w:val="kk-KZ"/>
        </w:rPr>
        <w:lastRenderedPageBreak/>
        <w:t xml:space="preserve">жұмысын жүргізу, ақпараттық-талдау және мониторинг жұмысының түрлері мен әдістерін білу. Салықтық,кедендік, тағы басқа міндетті түсімдерді болжау бойынша жұмыстарды үйлестіру. Жиынтық талдамалы материалдарды болжау нәтижелері бойынша құрастыру. Өз құзыреті шегінде салық заңнамасын түсіндіру. ҚР ҚМ Мемлекеттік кірістер комитетіне есептілікті уақытылы тапсырылуын қадағалау. </w:t>
      </w:r>
    </w:p>
    <w:p w:rsidR="00C154EA" w:rsidRDefault="00686E6B" w:rsidP="005A72D7">
      <w:pPr>
        <w:pStyle w:val="a3"/>
        <w:widowControl w:val="0"/>
        <w:tabs>
          <w:tab w:val="left" w:pos="-1405"/>
          <w:tab w:val="left" w:pos="9554"/>
        </w:tabs>
        <w:spacing w:after="0" w:line="240" w:lineRule="auto"/>
        <w:ind w:left="360"/>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686E6B">
        <w:rPr>
          <w:lang w:val="kk-KZ"/>
        </w:rPr>
        <w:t xml:space="preserve"> </w:t>
      </w:r>
      <w:r w:rsidR="00BC7CB0" w:rsidRPr="00BC7CB0">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sidR="00BC7CB0">
        <w:rPr>
          <w:rFonts w:ascii="Times New Roman" w:eastAsia="Times New Roman" w:hAnsi="Times New Roman" w:cs="Times New Roman"/>
          <w:bCs/>
          <w:iCs/>
          <w:color w:val="000000"/>
          <w:sz w:val="28"/>
          <w:szCs w:val="28"/>
          <w:lang w:val="kk-KZ" w:eastAsia="ru-RU"/>
        </w:rPr>
        <w:t>.</w:t>
      </w:r>
      <w:r w:rsidR="00BC7CB0" w:rsidRPr="00BC7CB0">
        <w:rPr>
          <w:rFonts w:ascii="Times New Roman" w:eastAsia="Times New Roman" w:hAnsi="Times New Roman" w:cs="Times New Roman"/>
          <w:bCs/>
          <w:iCs/>
          <w:color w:val="000000"/>
          <w:sz w:val="28"/>
          <w:szCs w:val="28"/>
          <w:lang w:val="kk-KZ" w:eastAsia="ru-RU"/>
        </w:rPr>
        <w:t xml:space="preserve"> </w:t>
      </w:r>
    </w:p>
    <w:p w:rsidR="00686E6B" w:rsidRDefault="00BC7CB0" w:rsidP="005A72D7">
      <w:pPr>
        <w:pStyle w:val="a3"/>
        <w:widowControl w:val="0"/>
        <w:tabs>
          <w:tab w:val="left" w:pos="-1405"/>
          <w:tab w:val="left" w:pos="9554"/>
        </w:tabs>
        <w:spacing w:after="0" w:line="240" w:lineRule="auto"/>
        <w:ind w:left="360"/>
        <w:jc w:val="both"/>
        <w:outlineLvl w:val="0"/>
        <w:rPr>
          <w:rFonts w:ascii="Times New Roman" w:eastAsia="Times New Roman" w:hAnsi="Times New Roman" w:cs="Times New Roman"/>
          <w:b/>
          <w:sz w:val="28"/>
          <w:szCs w:val="28"/>
          <w:lang w:val="kk-KZ" w:eastAsia="ru-RU"/>
        </w:rPr>
      </w:pPr>
      <w:r w:rsidRPr="00BC7CB0">
        <w:rPr>
          <w:rFonts w:ascii="Times New Roman" w:eastAsia="Times New Roman" w:hAnsi="Times New Roman" w:cs="Times New Roman"/>
          <w:bCs/>
          <w:iCs/>
          <w:color w:val="000000"/>
          <w:sz w:val="28"/>
          <w:szCs w:val="28"/>
          <w:lang w:val="kk-KZ" w:eastAsia="ru-RU"/>
        </w:rPr>
        <w:t xml:space="preserve">           </w:t>
      </w:r>
    </w:p>
    <w:p w:rsidR="00686E6B" w:rsidRDefault="00686E6B" w:rsidP="00BC7CB0">
      <w:pPr>
        <w:pStyle w:val="a3"/>
        <w:numPr>
          <w:ilvl w:val="0"/>
          <w:numId w:val="2"/>
        </w:numPr>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Аудит</w:t>
      </w:r>
      <w:r w:rsidRPr="00686E6B">
        <w:rPr>
          <w:rFonts w:ascii="Times New Roman" w:eastAsia="Times New Roman" w:hAnsi="Times New Roman" w:cs="Times New Roman"/>
          <w:b/>
          <w:sz w:val="28"/>
          <w:szCs w:val="28"/>
          <w:lang w:val="kk-KZ" w:eastAsia="ru-RU"/>
        </w:rPr>
        <w:t xml:space="preserve"> басқармасының </w:t>
      </w:r>
      <w:r>
        <w:rPr>
          <w:rFonts w:ascii="Times New Roman" w:eastAsia="Times New Roman" w:hAnsi="Times New Roman" w:cs="Times New Roman"/>
          <w:b/>
          <w:sz w:val="28"/>
          <w:szCs w:val="28"/>
          <w:lang w:val="kk-KZ" w:eastAsia="ru-RU"/>
        </w:rPr>
        <w:t>№</w:t>
      </w:r>
      <w:r w:rsidR="00BC7CB0">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аудит бөлімінің</w:t>
      </w:r>
      <w:r w:rsidRPr="00686E6B">
        <w:rPr>
          <w:rFonts w:ascii="Times New Roman" w:eastAsia="Times New Roman" w:hAnsi="Times New Roman" w:cs="Times New Roman"/>
          <w:b/>
          <w:sz w:val="28"/>
          <w:szCs w:val="28"/>
          <w:lang w:val="kk-KZ" w:eastAsia="ru-RU"/>
        </w:rPr>
        <w:t xml:space="preserve"> бас маманы, С-О-</w:t>
      </w:r>
      <w:r w:rsidR="005A72D7">
        <w:rPr>
          <w:rFonts w:ascii="Times New Roman" w:eastAsia="Times New Roman" w:hAnsi="Times New Roman" w:cs="Times New Roman"/>
          <w:b/>
          <w:sz w:val="28"/>
          <w:szCs w:val="28"/>
          <w:lang w:val="kk-KZ" w:eastAsia="ru-RU"/>
        </w:rPr>
        <w:t>5</w:t>
      </w:r>
      <w:r w:rsidR="00BC7CB0">
        <w:rPr>
          <w:rFonts w:ascii="Times New Roman" w:eastAsia="Times New Roman" w:hAnsi="Times New Roman" w:cs="Times New Roman"/>
          <w:b/>
          <w:sz w:val="28"/>
          <w:szCs w:val="28"/>
          <w:lang w:val="kk-KZ" w:eastAsia="ru-RU"/>
        </w:rPr>
        <w:t xml:space="preserve"> санаты, 1</w:t>
      </w:r>
      <w:r w:rsidRPr="00686E6B">
        <w:rPr>
          <w:rFonts w:ascii="Times New Roman" w:eastAsia="Times New Roman" w:hAnsi="Times New Roman" w:cs="Times New Roman"/>
          <w:b/>
          <w:sz w:val="28"/>
          <w:szCs w:val="28"/>
          <w:lang w:val="kk-KZ" w:eastAsia="ru-RU"/>
        </w:rPr>
        <w:t xml:space="preserve"> бірлік, </w:t>
      </w:r>
      <w:r w:rsidR="00BC7CB0" w:rsidRPr="00BC7CB0">
        <w:rPr>
          <w:rFonts w:ascii="Times New Roman" w:eastAsia="Times New Roman" w:hAnsi="Times New Roman" w:cs="Times New Roman"/>
          <w:b/>
          <w:sz w:val="28"/>
          <w:szCs w:val="28"/>
          <w:lang w:val="kk-KZ" w:eastAsia="ru-RU"/>
        </w:rPr>
        <w:t>№ АБ 1-2-1.</w:t>
      </w:r>
    </w:p>
    <w:p w:rsidR="0025146F" w:rsidRDefault="001A6DB7" w:rsidP="00C154EA">
      <w:pPr>
        <w:pStyle w:val="a3"/>
        <w:ind w:left="0" w:firstLine="360"/>
        <w:jc w:val="both"/>
        <w:rPr>
          <w:rFonts w:ascii="Times New Roman" w:eastAsia="Times New Roman" w:hAnsi="Times New Roman" w:cs="Times New Roman"/>
          <w:b/>
          <w:bCs/>
          <w:iCs/>
          <w:color w:val="000000"/>
          <w:sz w:val="28"/>
          <w:szCs w:val="28"/>
          <w:lang w:val="kk-KZ" w:eastAsia="ru-RU"/>
        </w:rPr>
      </w:pPr>
      <w:r>
        <w:rPr>
          <w:rFonts w:ascii="Times New Roman" w:hAnsi="Times New Roman" w:cs="Times New Roman"/>
          <w:b/>
          <w:sz w:val="28"/>
          <w:szCs w:val="28"/>
          <w:lang w:val="kk-KZ"/>
        </w:rPr>
        <w:t>Функционалдық міндеттері:</w:t>
      </w:r>
      <w:r w:rsidRPr="001A6DB7">
        <w:rPr>
          <w:lang w:val="kk-KZ"/>
        </w:rPr>
        <w:t xml:space="preserve"> </w:t>
      </w:r>
      <w:r w:rsidR="00BC7CB0" w:rsidRPr="00BC7CB0">
        <w:rPr>
          <w:rFonts w:ascii="Times New Roman" w:hAnsi="Times New Roman" w:cs="Times New Roman"/>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насихаттау.Өз құзыреті шегінде салық заңнамасын түсіндіру. ҚР ҚМ Мемлекеттік кірістер комитетіне есептілікті уақытылы тапсыру.</w:t>
      </w:r>
      <w:r>
        <w:rPr>
          <w:rFonts w:ascii="Times New Roman" w:eastAsia="Times New Roman" w:hAnsi="Times New Roman" w:cs="Times New Roman"/>
          <w:b/>
          <w:bCs/>
          <w:iCs/>
          <w:color w:val="000000"/>
          <w:sz w:val="28"/>
          <w:szCs w:val="28"/>
          <w:lang w:val="kk-KZ" w:eastAsia="ru-RU"/>
        </w:rPr>
        <w:t xml:space="preserve">      </w:t>
      </w:r>
    </w:p>
    <w:p w:rsidR="00C154EA" w:rsidRDefault="001A6DB7" w:rsidP="00C154EA">
      <w:pPr>
        <w:pStyle w:val="a3"/>
        <w:ind w:left="0" w:firstLine="36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A6DB7">
        <w:rPr>
          <w:lang w:val="kk-KZ"/>
        </w:rPr>
        <w:t xml:space="preserve"> </w:t>
      </w:r>
      <w:r w:rsidR="00BC7CB0" w:rsidRPr="00BC7CB0">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sidR="00BC7CB0">
        <w:rPr>
          <w:rFonts w:ascii="Times New Roman" w:eastAsia="Times New Roman" w:hAnsi="Times New Roman" w:cs="Times New Roman"/>
          <w:bCs/>
          <w:iCs/>
          <w:color w:val="000000"/>
          <w:sz w:val="28"/>
          <w:szCs w:val="28"/>
          <w:lang w:val="kk-KZ" w:eastAsia="ru-RU"/>
        </w:rPr>
        <w:t>.</w:t>
      </w:r>
      <w:r w:rsidR="00BC7CB0" w:rsidRPr="00BC7CB0">
        <w:rPr>
          <w:rFonts w:ascii="Times New Roman" w:eastAsia="Times New Roman" w:hAnsi="Times New Roman" w:cs="Times New Roman"/>
          <w:bCs/>
          <w:iCs/>
          <w:color w:val="000000"/>
          <w:sz w:val="28"/>
          <w:szCs w:val="28"/>
          <w:lang w:val="kk-KZ" w:eastAsia="ru-RU"/>
        </w:rPr>
        <w:t xml:space="preserve">    </w:t>
      </w:r>
    </w:p>
    <w:p w:rsidR="00C154EA" w:rsidRDefault="00C154EA" w:rsidP="00C154EA">
      <w:pPr>
        <w:pStyle w:val="a3"/>
        <w:ind w:left="0" w:firstLine="360"/>
        <w:jc w:val="both"/>
        <w:rPr>
          <w:rFonts w:ascii="Times New Roman" w:eastAsia="Times New Roman" w:hAnsi="Times New Roman" w:cs="Times New Roman"/>
          <w:bCs/>
          <w:iCs/>
          <w:color w:val="000000"/>
          <w:sz w:val="28"/>
          <w:szCs w:val="28"/>
          <w:lang w:val="kk-KZ" w:eastAsia="ru-RU"/>
        </w:rPr>
      </w:pPr>
    </w:p>
    <w:p w:rsidR="00C154EA" w:rsidRPr="00C154EA" w:rsidRDefault="00C154EA" w:rsidP="00C154EA">
      <w:pPr>
        <w:pStyle w:val="a3"/>
        <w:numPr>
          <w:ilvl w:val="0"/>
          <w:numId w:val="2"/>
        </w:numPr>
        <w:jc w:val="both"/>
        <w:rPr>
          <w:rFonts w:ascii="Times New Roman" w:eastAsia="Times New Roman" w:hAnsi="Times New Roman" w:cs="Times New Roman"/>
          <w:bCs/>
          <w:iCs/>
          <w:color w:val="000000"/>
          <w:sz w:val="28"/>
          <w:szCs w:val="28"/>
          <w:lang w:val="kk-KZ" w:eastAsia="ru-RU"/>
        </w:rPr>
      </w:pPr>
      <w:r w:rsidRPr="00C154EA">
        <w:rPr>
          <w:rFonts w:ascii="Times New Roman" w:eastAsia="Calibri" w:hAnsi="Times New Roman" w:cs="Times New Roman"/>
          <w:b/>
          <w:bCs/>
          <w:sz w:val="28"/>
          <w:szCs w:val="28"/>
          <w:lang w:val="kk-KZ"/>
        </w:rPr>
        <w:t xml:space="preserve"> «Нұр Жолы» кеден бекетінің бас маманы, C-О-5 санаты, (4 бірлік), № Нұр Жолы КБ 1-2-1-№ Нұр Жолы КБ 1-2-</w:t>
      </w:r>
      <w:r w:rsidR="0025146F">
        <w:rPr>
          <w:rFonts w:ascii="Times New Roman" w:eastAsia="Calibri" w:hAnsi="Times New Roman" w:cs="Times New Roman"/>
          <w:b/>
          <w:bCs/>
          <w:sz w:val="28"/>
          <w:szCs w:val="28"/>
          <w:lang w:val="kk-KZ"/>
        </w:rPr>
        <w:t>4</w:t>
      </w:r>
    </w:p>
    <w:p w:rsidR="00C154EA" w:rsidRPr="00C154EA" w:rsidRDefault="00C154EA" w:rsidP="00C154EA">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8"/>
          <w:szCs w:val="28"/>
          <w:lang w:val="kk-KZ"/>
        </w:rPr>
      </w:pPr>
      <w:r w:rsidRPr="00C154EA">
        <w:rPr>
          <w:rFonts w:ascii="Times New Roman" w:eastAsia="Calibri" w:hAnsi="Times New Roman" w:cs="Times New Roman"/>
          <w:b/>
          <w:iCs/>
          <w:kern w:val="2"/>
          <w:sz w:val="28"/>
          <w:szCs w:val="28"/>
          <w:lang w:val="kk-KZ"/>
        </w:rPr>
        <w:t>Функционалдық міндеттері:</w:t>
      </w:r>
    </w:p>
    <w:p w:rsidR="0025146F" w:rsidRDefault="00C154EA" w:rsidP="00C154EA">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C154EA">
        <w:rPr>
          <w:rFonts w:ascii="Times New Roman" w:eastAsia="Times New Roman" w:hAnsi="Times New Roman" w:cs="Times New Roman"/>
          <w:bCs/>
          <w:iCs/>
          <w:color w:val="000000"/>
          <w:sz w:val="28"/>
          <w:szCs w:val="28"/>
          <w:lang w:val="kk-KZ" w:eastAsia="ru-RU"/>
        </w:rPr>
        <w:t xml:space="preserve">Тәуекелдерді басқару жүйесін қолдана отырып, кеден шекарасы арқылы өтетін тауарлар мен көлік құралдарына кедендік рәсімдеу мен бақылау жүргізеді. Кедендік рәсімдерге қойылған тауарларды орналастыру шарттарын орындауды бақылайды.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префиренцияларды ұсынады. Зияткерлік меншік объектілеріне құқықтарды қорғау жөніндегі қолданылатын шараларды орындайды. Кедендік төлемдер мен салықтардың дұрыс есептелуін, сондай-ақ оларды төлеу бойынша мерзімін ұзартуын немесе жеңілдіктер </w:t>
      </w:r>
      <w:r w:rsidRPr="00C154EA">
        <w:rPr>
          <w:rFonts w:ascii="Times New Roman" w:eastAsia="Times New Roman" w:hAnsi="Times New Roman" w:cs="Times New Roman"/>
          <w:bCs/>
          <w:iCs/>
          <w:color w:val="000000"/>
          <w:sz w:val="28"/>
          <w:szCs w:val="28"/>
          <w:lang w:val="kk-KZ" w:eastAsia="ru-RU"/>
        </w:rPr>
        <w:lastRenderedPageBreak/>
        <w:t xml:space="preserve">ұсынуын, көлік құралдары мен тауарлардың уақытша сақтау мерзімін және кедендік декларацияны тапсыру мерзімін қадағалауды жүзеге асырады. Кедендік транзиттің рәсімдеуін қадағалау. ҚР ҚМ МКК "Астана-1" АЖ қолдана отырып, кедендік транзиттік жүйені және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сондай-ақ кедендік Одақтың кеден шекарасы арқылы өтетін жеке және заңды тұлғалардың кедендік кіріс ордерін пайдалану арқылы тауарлар мен көлік құралдарына кедендік рәсімдеу және кедендік бақылау жүргізеді. Мәлімденген тауарладың кедендік құнын түзейді.  </w:t>
      </w:r>
    </w:p>
    <w:p w:rsidR="0025146F" w:rsidRDefault="0025146F" w:rsidP="0025146F">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25146F">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25146F">
        <w:rPr>
          <w:rFonts w:ascii="Times New Roman" w:eastAsia="Times New Roman" w:hAnsi="Times New Roman" w:cs="Times New Roman"/>
          <w:b/>
          <w:bCs/>
          <w:i/>
          <w:iCs/>
          <w:sz w:val="28"/>
          <w:szCs w:val="28"/>
          <w:lang w:val="kk-KZ" w:eastAsia="ru-RU"/>
        </w:rPr>
        <w:t xml:space="preserve"> </w:t>
      </w:r>
      <w:r w:rsidRPr="0025146F">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      </w:t>
      </w:r>
    </w:p>
    <w:p w:rsidR="00C154EA" w:rsidRPr="00C154EA" w:rsidRDefault="00C154EA" w:rsidP="00C154EA">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C154EA">
        <w:rPr>
          <w:rFonts w:ascii="Times New Roman" w:eastAsia="Times New Roman" w:hAnsi="Times New Roman" w:cs="Times New Roman"/>
          <w:bCs/>
          <w:iCs/>
          <w:color w:val="000000"/>
          <w:sz w:val="28"/>
          <w:szCs w:val="28"/>
          <w:lang w:val="kk-KZ" w:eastAsia="ru-RU"/>
        </w:rPr>
        <w:t xml:space="preserve"> </w:t>
      </w:r>
    </w:p>
    <w:p w:rsidR="00C154EA" w:rsidRPr="00C154EA" w:rsidRDefault="00C154EA" w:rsidP="00C154EA">
      <w:pPr>
        <w:ind w:right="266"/>
        <w:jc w:val="center"/>
        <w:rPr>
          <w:rFonts w:ascii="Times New Roman" w:eastAsia="Calibri" w:hAnsi="Times New Roman" w:cs="Times New Roman"/>
          <w:b/>
          <w:i/>
          <w:sz w:val="28"/>
          <w:szCs w:val="28"/>
          <w:lang w:val="kk-KZ"/>
        </w:rPr>
      </w:pPr>
      <w:r w:rsidRPr="00C154EA">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C154EA" w:rsidRPr="00C154EA" w:rsidTr="00F97CD3">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C154EA" w:rsidRPr="00C154EA" w:rsidRDefault="00C154EA" w:rsidP="00F97CD3">
            <w:pPr>
              <w:keepNext/>
              <w:ind w:left="23" w:right="-62"/>
              <w:jc w:val="center"/>
              <w:rPr>
                <w:rFonts w:ascii="Times New Roman" w:eastAsia="Calibri" w:hAnsi="Times New Roman" w:cs="Times New Roman"/>
                <w:b/>
                <w:bCs/>
                <w:i/>
                <w:iCs/>
                <w:sz w:val="28"/>
                <w:szCs w:val="28"/>
                <w:lang w:val="kk-KZ"/>
              </w:rPr>
            </w:pPr>
            <w:r w:rsidRPr="00C154EA">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C154EA" w:rsidRPr="00C154EA" w:rsidRDefault="00C154EA" w:rsidP="00F97CD3">
            <w:pPr>
              <w:keepNext/>
              <w:ind w:right="266"/>
              <w:jc w:val="center"/>
              <w:rPr>
                <w:rFonts w:ascii="Times New Roman" w:eastAsia="Calibri" w:hAnsi="Times New Roman" w:cs="Times New Roman"/>
                <w:b/>
                <w:bCs/>
                <w:i/>
                <w:iCs/>
                <w:sz w:val="28"/>
                <w:szCs w:val="28"/>
                <w:lang w:val="kk-KZ"/>
              </w:rPr>
            </w:pPr>
            <w:r w:rsidRPr="00C154EA">
              <w:rPr>
                <w:rFonts w:ascii="Times New Roman" w:eastAsia="Calibri" w:hAnsi="Times New Roman" w:cs="Times New Roman"/>
                <w:b/>
                <w:sz w:val="28"/>
                <w:szCs w:val="28"/>
                <w:lang w:val="kk-KZ"/>
              </w:rPr>
              <w:t>Еңбек сіңірген жылдарына байланысты</w:t>
            </w:r>
          </w:p>
        </w:tc>
      </w:tr>
      <w:tr w:rsidR="00C154EA" w:rsidRPr="00C154EA" w:rsidTr="00F97CD3">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C154EA" w:rsidRPr="00C154EA" w:rsidRDefault="00C154EA" w:rsidP="00F97CD3">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C154EA" w:rsidRPr="00C154EA" w:rsidRDefault="00C154EA" w:rsidP="00F97CD3">
            <w:pPr>
              <w:keepNext/>
              <w:ind w:right="96"/>
              <w:jc w:val="center"/>
              <w:rPr>
                <w:rFonts w:ascii="Times New Roman" w:eastAsia="Calibri" w:hAnsi="Times New Roman" w:cs="Times New Roman"/>
                <w:b/>
                <w:bCs/>
                <w:i/>
                <w:iCs/>
                <w:sz w:val="28"/>
                <w:szCs w:val="28"/>
                <w:lang w:val="kk-KZ"/>
              </w:rPr>
            </w:pPr>
            <w:r w:rsidRPr="00C154EA">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C154EA" w:rsidRPr="00C154EA" w:rsidRDefault="00C154EA" w:rsidP="00F97CD3">
            <w:pPr>
              <w:keepNext/>
              <w:ind w:left="28"/>
              <w:jc w:val="center"/>
              <w:rPr>
                <w:rFonts w:ascii="Times New Roman" w:eastAsia="Calibri" w:hAnsi="Times New Roman" w:cs="Times New Roman"/>
                <w:b/>
                <w:bCs/>
                <w:i/>
                <w:iCs/>
                <w:sz w:val="28"/>
                <w:szCs w:val="28"/>
                <w:lang w:val="kk-KZ"/>
              </w:rPr>
            </w:pPr>
            <w:r w:rsidRPr="00C154EA">
              <w:rPr>
                <w:rFonts w:ascii="Times New Roman" w:eastAsia="Calibri" w:hAnsi="Times New Roman" w:cs="Times New Roman"/>
                <w:b/>
                <w:sz w:val="28"/>
                <w:szCs w:val="28"/>
                <w:lang w:val="kk-KZ"/>
              </w:rPr>
              <w:t>max</w:t>
            </w:r>
          </w:p>
        </w:tc>
      </w:tr>
      <w:tr w:rsidR="00C154EA" w:rsidRPr="00C154EA" w:rsidTr="00F97CD3">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C154EA" w:rsidRPr="00C154EA" w:rsidRDefault="00C154EA" w:rsidP="00F97CD3">
            <w:pPr>
              <w:keepNext/>
              <w:ind w:left="-1440" w:right="96" w:firstLine="1440"/>
              <w:jc w:val="center"/>
              <w:rPr>
                <w:rFonts w:ascii="Times New Roman" w:eastAsia="Calibri" w:hAnsi="Times New Roman" w:cs="Times New Roman"/>
                <w:b/>
                <w:i/>
                <w:sz w:val="28"/>
                <w:szCs w:val="28"/>
                <w:lang w:val="kk-KZ"/>
              </w:rPr>
            </w:pPr>
            <w:r w:rsidRPr="00C154EA">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C154EA" w:rsidRPr="00C154EA" w:rsidRDefault="00C154EA" w:rsidP="00F97CD3">
            <w:pPr>
              <w:keepNext/>
              <w:widowControl w:val="0"/>
              <w:ind w:left="-1440" w:right="96" w:firstLine="1440"/>
              <w:jc w:val="center"/>
              <w:rPr>
                <w:rFonts w:ascii="Times New Roman" w:eastAsia="Calibri" w:hAnsi="Times New Roman" w:cs="Times New Roman"/>
                <w:b/>
                <w:i/>
                <w:sz w:val="28"/>
                <w:szCs w:val="28"/>
                <w:lang w:val="kk-KZ"/>
              </w:rPr>
            </w:pPr>
            <w:r w:rsidRPr="00C154EA">
              <w:rPr>
                <w:rFonts w:ascii="Times New Roman" w:eastAsia="Calibri" w:hAnsi="Times New Roman" w:cs="Times New Roman"/>
                <w:b/>
                <w:i/>
                <w:sz w:val="28"/>
                <w:szCs w:val="28"/>
                <w:lang w:val="kk-KZ"/>
              </w:rPr>
              <w:t>109 898</w:t>
            </w:r>
          </w:p>
        </w:tc>
        <w:tc>
          <w:tcPr>
            <w:tcW w:w="3544" w:type="dxa"/>
            <w:tcBorders>
              <w:top w:val="outset" w:sz="6" w:space="0" w:color="00000A"/>
              <w:left w:val="outset" w:sz="6" w:space="0" w:color="00000A"/>
              <w:bottom w:val="outset" w:sz="6" w:space="0" w:color="00000A"/>
              <w:right w:val="outset" w:sz="6" w:space="0" w:color="00000A"/>
            </w:tcBorders>
          </w:tcPr>
          <w:p w:rsidR="00C154EA" w:rsidRPr="00C154EA" w:rsidRDefault="00C154EA" w:rsidP="00F97CD3">
            <w:pPr>
              <w:keepNext/>
              <w:ind w:left="-1440" w:right="96" w:firstLine="1440"/>
              <w:jc w:val="center"/>
              <w:rPr>
                <w:rFonts w:ascii="Times New Roman" w:eastAsia="Calibri" w:hAnsi="Times New Roman" w:cs="Times New Roman"/>
                <w:b/>
                <w:i/>
                <w:sz w:val="28"/>
                <w:szCs w:val="28"/>
                <w:lang w:val="kk-KZ"/>
              </w:rPr>
            </w:pPr>
            <w:r w:rsidRPr="00C154EA">
              <w:rPr>
                <w:rFonts w:ascii="Times New Roman" w:eastAsia="Calibri" w:hAnsi="Times New Roman" w:cs="Times New Roman"/>
                <w:b/>
                <w:i/>
                <w:sz w:val="28"/>
                <w:szCs w:val="28"/>
                <w:lang w:val="kk-KZ"/>
              </w:rPr>
              <w:t>148 124</w:t>
            </w:r>
          </w:p>
        </w:tc>
      </w:tr>
    </w:tbl>
    <w:p w:rsidR="00517A7F" w:rsidRPr="00C154EA" w:rsidRDefault="00517A7F" w:rsidP="00C154EA">
      <w:pPr>
        <w:jc w:val="both"/>
        <w:rPr>
          <w:rFonts w:ascii="Times New Roman" w:eastAsia="Times New Roman" w:hAnsi="Times New Roman" w:cs="Times New Roman"/>
          <w:b/>
          <w:sz w:val="28"/>
          <w:szCs w:val="28"/>
          <w:lang w:val="kk-KZ" w:eastAsia="ru-RU"/>
        </w:rPr>
      </w:pPr>
    </w:p>
    <w:p w:rsidR="005D1B2F" w:rsidRPr="000914E3" w:rsidRDefault="005D1B2F" w:rsidP="007F7D87">
      <w:pPr>
        <w:spacing w:after="0"/>
        <w:ind w:firstLine="708"/>
        <w:jc w:val="both"/>
        <w:rPr>
          <w:rFonts w:ascii="Times New Roman" w:eastAsia="Times New Roman" w:hAnsi="Times New Roman" w:cs="Times New Roman"/>
          <w:b/>
          <w:i/>
          <w:iCs/>
          <w:sz w:val="28"/>
          <w:szCs w:val="28"/>
          <w:lang w:val="kk-KZ" w:eastAsia="ru-RU"/>
        </w:rPr>
      </w:pPr>
      <w:r w:rsidRPr="000914E3">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7F7D87">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342C0D">
        <w:rPr>
          <w:rFonts w:ascii="Times New Roman" w:eastAsia="Times New Roman" w:hAnsi="Times New Roman" w:cs="Times New Roman"/>
          <w:sz w:val="28"/>
          <w:szCs w:val="28"/>
          <w:lang w:val="kk-KZ" w:eastAsia="ru-RU"/>
        </w:rPr>
        <w:lastRenderedPageBreak/>
        <w:t>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4D3FC4"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sz w:val="28"/>
          <w:szCs w:val="28"/>
          <w:lang w:val="kk-KZ" w:eastAsia="ru-RU"/>
        </w:rPr>
        <w:t xml:space="preserve">   </w:t>
      </w:r>
      <w:r w:rsidR="005D1B2F" w:rsidRPr="001D43C2">
        <w:rPr>
          <w:rFonts w:ascii="Times New Roman" w:eastAsia="Times New Roman" w:hAnsi="Times New Roman" w:cs="Times New Roman"/>
          <w:b/>
          <w:bCs/>
          <w:iCs/>
          <w:sz w:val="28"/>
          <w:szCs w:val="28"/>
          <w:lang w:val="kk-KZ" w:eastAsia="ru-RU"/>
        </w:rPr>
        <w:t xml:space="preserve">Құжаттарды қабылдау мерзімі: </w:t>
      </w:r>
      <w:r w:rsidR="005D1B2F">
        <w:rPr>
          <w:rFonts w:ascii="Times New Roman" w:eastAsia="Times New Roman" w:hAnsi="Times New Roman" w:cs="Times New Roman"/>
          <w:b/>
          <w:bCs/>
          <w:iCs/>
          <w:sz w:val="28"/>
          <w:szCs w:val="28"/>
          <w:lang w:val="kk-KZ" w:eastAsia="ru-RU"/>
        </w:rPr>
        <w:t xml:space="preserve"> </w:t>
      </w:r>
      <w:r w:rsidR="005D1B2F" w:rsidRPr="001D43C2">
        <w:rPr>
          <w:rFonts w:ascii="Times New Roman" w:eastAsia="Times New Roman" w:hAnsi="Times New Roman" w:cs="Times New Roman"/>
          <w:bCs/>
          <w:iCs/>
          <w:color w:val="000000"/>
          <w:sz w:val="28"/>
          <w:szCs w:val="28"/>
          <w:lang w:val="kk-KZ" w:eastAsia="ru-RU"/>
        </w:rPr>
        <w:t>3 жұмыс күні</w:t>
      </w:r>
      <w:r w:rsidR="005D1B2F">
        <w:rPr>
          <w:rFonts w:ascii="Times New Roman" w:eastAsia="Times New Roman" w:hAnsi="Times New Roman" w:cs="Times New Roman"/>
          <w:bCs/>
          <w:iCs/>
          <w:color w:val="000000"/>
          <w:sz w:val="28"/>
          <w:szCs w:val="28"/>
          <w:lang w:val="kk-KZ" w:eastAsia="ru-RU"/>
        </w:rPr>
        <w:t xml:space="preserve">, </w:t>
      </w:r>
      <w:r w:rsidR="005D1B2F"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sidR="005D1B2F">
        <w:rPr>
          <w:rFonts w:ascii="Times New Roman" w:eastAsia="Times New Roman" w:hAnsi="Times New Roman" w:cs="Times New Roman"/>
          <w:bCs/>
          <w:iCs/>
          <w:color w:val="000000"/>
          <w:sz w:val="28"/>
          <w:szCs w:val="28"/>
          <w:lang w:val="kk-KZ" w:eastAsia="ru-RU"/>
        </w:rPr>
        <w:t xml:space="preserve">күннен </w:t>
      </w:r>
      <w:r w:rsidR="005D1B2F" w:rsidRPr="001D43C2">
        <w:rPr>
          <w:rFonts w:ascii="Times New Roman" w:eastAsia="Times New Roman" w:hAnsi="Times New Roman" w:cs="Times New Roman"/>
          <w:bCs/>
          <w:iCs/>
          <w:color w:val="000000"/>
          <w:sz w:val="28"/>
          <w:szCs w:val="28"/>
          <w:lang w:val="kk-KZ" w:eastAsia="ru-RU"/>
        </w:rPr>
        <w:t>кейін</w:t>
      </w:r>
      <w:r w:rsidR="005D1B2F">
        <w:rPr>
          <w:rFonts w:ascii="Times New Roman" w:eastAsia="Times New Roman" w:hAnsi="Times New Roman" w:cs="Times New Roman"/>
          <w:bCs/>
          <w:iCs/>
          <w:color w:val="000000"/>
          <w:sz w:val="28"/>
          <w:szCs w:val="28"/>
          <w:lang w:val="kk-KZ" w:eastAsia="ru-RU"/>
        </w:rPr>
        <w:t>гі</w:t>
      </w:r>
      <w:r w:rsidR="005D1B2F"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C7017B" w:rsidRDefault="005D1B2F" w:rsidP="007F7D87">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C7017B" w:rsidRDefault="00C7017B" w:rsidP="00C7017B">
      <w:pPr>
        <w:spacing w:after="0" w:line="240" w:lineRule="auto"/>
        <w:ind w:firstLine="567"/>
        <w:jc w:val="both"/>
        <w:rPr>
          <w:rFonts w:ascii="Times New Roman" w:eastAsia="Calibri" w:hAnsi="Times New Roman" w:cs="Times New Roman"/>
          <w:b/>
          <w:i/>
          <w:color w:val="000000"/>
          <w:sz w:val="28"/>
          <w:szCs w:val="28"/>
          <w:lang w:val="kk-KZ"/>
        </w:rPr>
      </w:pPr>
      <w:r w:rsidRPr="00C7017B">
        <w:rPr>
          <w:rFonts w:ascii="Times New Roman" w:eastAsia="Calibri" w:hAnsi="Times New Roman" w:cs="Times New Roman"/>
          <w:b/>
          <w:i/>
          <w:color w:val="000000"/>
          <w:sz w:val="28"/>
          <w:szCs w:val="28"/>
          <w:lang w:val="kk-KZ"/>
        </w:rPr>
        <w:t xml:space="preserve">   </w:t>
      </w:r>
      <w:r w:rsidRPr="00C7017B">
        <w:rPr>
          <w:rFonts w:ascii="Times New Roman" w:eastAsia="Calibri"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00D942E0">
        <w:rPr>
          <w:rFonts w:ascii="Times New Roman" w:eastAsia="Calibri" w:hAnsi="Times New Roman" w:cs="Times New Roman"/>
          <w:iCs/>
          <w:kern w:val="2"/>
          <w:sz w:val="28"/>
          <w:szCs w:val="28"/>
          <w:lang w:val="kk-KZ"/>
        </w:rPr>
        <w:tab/>
      </w:r>
    </w:p>
    <w:p w:rsidR="007F7D87" w:rsidRPr="001D43C2" w:rsidRDefault="007F7D87" w:rsidP="007F7D87">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Әңгімелесу өткізу мекен-жайы: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FE5485" w:rsidRDefault="00FE5485"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C154EA" w:rsidRDefault="00C154EA" w:rsidP="007D7F47">
      <w:pPr>
        <w:autoSpaceDE w:val="0"/>
        <w:autoSpaceDN w:val="0"/>
        <w:adjustRightInd w:val="0"/>
        <w:spacing w:after="0" w:line="240" w:lineRule="auto"/>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F7D87"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F7D87">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9E" w:rsidRDefault="00C56D9E" w:rsidP="005973B5">
      <w:pPr>
        <w:spacing w:after="0" w:line="240" w:lineRule="auto"/>
      </w:pPr>
      <w:r>
        <w:separator/>
      </w:r>
    </w:p>
  </w:endnote>
  <w:endnote w:type="continuationSeparator" w:id="0">
    <w:p w:rsidR="00C56D9E" w:rsidRDefault="00C56D9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QsmOl+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9E" w:rsidRDefault="00C56D9E" w:rsidP="005973B5">
      <w:pPr>
        <w:spacing w:after="0" w:line="240" w:lineRule="auto"/>
      </w:pPr>
      <w:r>
        <w:separator/>
      </w:r>
    </w:p>
  </w:footnote>
  <w:footnote w:type="continuationSeparator" w:id="0">
    <w:p w:rsidR="00C56D9E" w:rsidRDefault="00C56D9E"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852BF7">
    <w:pPr>
      <w:pStyle w:val="a7"/>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2BF7" w:rsidRPr="00852BF7" w:rsidRDefault="00852BF7">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852BF7" w:rsidRPr="00852BF7" w:rsidRDefault="00852BF7">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v:textbox>
            </v:shape>
          </w:pict>
        </mc:Fallback>
      </mc:AlternateContent>
    </w:r>
    <w:r w:rsidR="00EC479A">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H9PR7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8"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4W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CE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9"/>
  </w:num>
  <w:num w:numId="4">
    <w:abstractNumId w:val="8"/>
  </w:num>
  <w:num w:numId="5">
    <w:abstractNumId w:val="3"/>
  </w:num>
  <w:num w:numId="6">
    <w:abstractNumId w:val="6"/>
  </w:num>
  <w:num w:numId="7">
    <w:abstractNumId w:val="1"/>
  </w:num>
  <w:num w:numId="8">
    <w:abstractNumId w:val="4"/>
  </w:num>
  <w:num w:numId="9">
    <w:abstractNumId w:val="7"/>
  </w:num>
  <w:num w:numId="10">
    <w:abstractNumId w:val="2"/>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3CA1"/>
    <w:rsid w:val="00054620"/>
    <w:rsid w:val="00065947"/>
    <w:rsid w:val="00073D0A"/>
    <w:rsid w:val="000914E3"/>
    <w:rsid w:val="000935E2"/>
    <w:rsid w:val="000979DD"/>
    <w:rsid w:val="000E2E65"/>
    <w:rsid w:val="000E5A90"/>
    <w:rsid w:val="000F3BB9"/>
    <w:rsid w:val="000F7FC5"/>
    <w:rsid w:val="001137C0"/>
    <w:rsid w:val="00153FF1"/>
    <w:rsid w:val="001808BB"/>
    <w:rsid w:val="001853DF"/>
    <w:rsid w:val="001A6DB7"/>
    <w:rsid w:val="001C1E6B"/>
    <w:rsid w:val="001E3397"/>
    <w:rsid w:val="0022317E"/>
    <w:rsid w:val="002341B4"/>
    <w:rsid w:val="0025146F"/>
    <w:rsid w:val="00264938"/>
    <w:rsid w:val="002837FC"/>
    <w:rsid w:val="00285FFB"/>
    <w:rsid w:val="002A15F1"/>
    <w:rsid w:val="002C0D06"/>
    <w:rsid w:val="002C10E4"/>
    <w:rsid w:val="002E50EF"/>
    <w:rsid w:val="002F3EDD"/>
    <w:rsid w:val="003036CF"/>
    <w:rsid w:val="0030589B"/>
    <w:rsid w:val="00320F8E"/>
    <w:rsid w:val="00345F84"/>
    <w:rsid w:val="0037536A"/>
    <w:rsid w:val="0038113F"/>
    <w:rsid w:val="003B5E27"/>
    <w:rsid w:val="003C5CED"/>
    <w:rsid w:val="003F408F"/>
    <w:rsid w:val="0040409B"/>
    <w:rsid w:val="00424030"/>
    <w:rsid w:val="00445855"/>
    <w:rsid w:val="00471AF4"/>
    <w:rsid w:val="00473773"/>
    <w:rsid w:val="00493A55"/>
    <w:rsid w:val="004C24A3"/>
    <w:rsid w:val="004D3FC4"/>
    <w:rsid w:val="004D602E"/>
    <w:rsid w:val="004E2968"/>
    <w:rsid w:val="00507A2E"/>
    <w:rsid w:val="0051705C"/>
    <w:rsid w:val="00517A7F"/>
    <w:rsid w:val="00530EB3"/>
    <w:rsid w:val="00530F0D"/>
    <w:rsid w:val="00534D9D"/>
    <w:rsid w:val="0053678D"/>
    <w:rsid w:val="005700A5"/>
    <w:rsid w:val="00572E88"/>
    <w:rsid w:val="00591338"/>
    <w:rsid w:val="005973B5"/>
    <w:rsid w:val="005A72D7"/>
    <w:rsid w:val="005D1B2F"/>
    <w:rsid w:val="005E58BE"/>
    <w:rsid w:val="005F1CAB"/>
    <w:rsid w:val="00613C1C"/>
    <w:rsid w:val="00624D51"/>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D7F47"/>
    <w:rsid w:val="007F7D0D"/>
    <w:rsid w:val="007F7D87"/>
    <w:rsid w:val="008251F7"/>
    <w:rsid w:val="00852BF7"/>
    <w:rsid w:val="008E38C8"/>
    <w:rsid w:val="00906E95"/>
    <w:rsid w:val="00910EA7"/>
    <w:rsid w:val="00952E69"/>
    <w:rsid w:val="00962221"/>
    <w:rsid w:val="009646F4"/>
    <w:rsid w:val="00975628"/>
    <w:rsid w:val="00994645"/>
    <w:rsid w:val="009A08F3"/>
    <w:rsid w:val="009E4122"/>
    <w:rsid w:val="009F6CDB"/>
    <w:rsid w:val="00A365C3"/>
    <w:rsid w:val="00A66582"/>
    <w:rsid w:val="00A95518"/>
    <w:rsid w:val="00AA1DA0"/>
    <w:rsid w:val="00AB15C4"/>
    <w:rsid w:val="00AB2306"/>
    <w:rsid w:val="00AB7F2D"/>
    <w:rsid w:val="00AE0B32"/>
    <w:rsid w:val="00AE26C1"/>
    <w:rsid w:val="00AF5A4A"/>
    <w:rsid w:val="00B12D0A"/>
    <w:rsid w:val="00B16FE1"/>
    <w:rsid w:val="00B20C55"/>
    <w:rsid w:val="00B80692"/>
    <w:rsid w:val="00B8581A"/>
    <w:rsid w:val="00BA6F19"/>
    <w:rsid w:val="00BB42A3"/>
    <w:rsid w:val="00BC7CB0"/>
    <w:rsid w:val="00BD5D98"/>
    <w:rsid w:val="00C154EA"/>
    <w:rsid w:val="00C2584C"/>
    <w:rsid w:val="00C47B56"/>
    <w:rsid w:val="00C56D9E"/>
    <w:rsid w:val="00C7017B"/>
    <w:rsid w:val="00C76722"/>
    <w:rsid w:val="00CB6E66"/>
    <w:rsid w:val="00CE1261"/>
    <w:rsid w:val="00D032DF"/>
    <w:rsid w:val="00D363A0"/>
    <w:rsid w:val="00D942E0"/>
    <w:rsid w:val="00DC5836"/>
    <w:rsid w:val="00DE5F3C"/>
    <w:rsid w:val="00E0191C"/>
    <w:rsid w:val="00E2403A"/>
    <w:rsid w:val="00E85EB6"/>
    <w:rsid w:val="00E966CA"/>
    <w:rsid w:val="00EC479A"/>
    <w:rsid w:val="00EF265E"/>
    <w:rsid w:val="00F05FDE"/>
    <w:rsid w:val="00F46939"/>
    <w:rsid w:val="00F70198"/>
    <w:rsid w:val="00FE5485"/>
    <w:rsid w:val="00FF128D"/>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7131">
      <w:bodyDiv w:val="1"/>
      <w:marLeft w:val="0"/>
      <w:marRight w:val="0"/>
      <w:marTop w:val="0"/>
      <w:marBottom w:val="0"/>
      <w:divBdr>
        <w:top w:val="none" w:sz="0" w:space="0" w:color="auto"/>
        <w:left w:val="none" w:sz="0" w:space="0" w:color="auto"/>
        <w:bottom w:val="none" w:sz="0" w:space="0" w:color="auto"/>
        <w:right w:val="none" w:sz="0" w:space="0" w:color="auto"/>
      </w:divBdr>
    </w:div>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0D56-01C3-4D21-9792-92A8EA29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2020-02-25T08:19:00Z</dcterms:created>
  <dcterms:modified xsi:type="dcterms:W3CDTF">2020-02-25T12:48:00Z</dcterms:modified>
</cp:coreProperties>
</file>